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SECURITY, RBAC &amp; AUDIT SPECIFICATION</w:t>
      </w:r>
    </w:p>
    <w:p>
      <w:r>
        <w:t>Document: SEC-13</w:t>
        <w:br/>
        <w:t>Version: 1.0</w:t>
      </w:r>
    </w:p>
    <w:p>
      <w:pPr>
        <w:pStyle w:val="Heading2"/>
      </w:pPr>
      <w:r>
        <w:t>1. Purpose</w:t>
      </w:r>
    </w:p>
    <w:p>
      <w:r>
        <w:t>Defines the security architecture, authentication, authorization, auditing, privacy and compliance controls for the Exam Preparation Platform.</w:t>
      </w:r>
    </w:p>
    <w:p>
      <w:pPr>
        <w:pStyle w:val="Heading2"/>
      </w:pPr>
      <w:r>
        <w:t>2. Authentication</w:t>
      </w:r>
    </w:p>
    <w:p>
      <w:pPr>
        <w:pStyle w:val="ListBullet"/>
      </w:pPr>
      <w:r>
        <w:t>Email/password authentication</w:t>
      </w:r>
    </w:p>
    <w:p>
      <w:pPr>
        <w:pStyle w:val="ListBullet"/>
      </w:pPr>
      <w:r>
        <w:t>OAuth providers (configurable)</w:t>
      </w:r>
    </w:p>
    <w:p>
      <w:pPr>
        <w:pStyle w:val="ListBullet"/>
      </w:pPr>
      <w:r>
        <w:t>Email verification</w:t>
      </w:r>
    </w:p>
    <w:p>
      <w:pPr>
        <w:pStyle w:val="ListBullet"/>
      </w:pPr>
      <w:r>
        <w:t>Password reset with time-limited tokens</w:t>
      </w:r>
    </w:p>
    <w:p>
      <w:pPr>
        <w:pStyle w:val="ListBullet"/>
      </w:pPr>
      <w:r>
        <w:t>Optional Multi-Factor Authentication (MFA)</w:t>
      </w:r>
    </w:p>
    <w:p>
      <w:pPr>
        <w:pStyle w:val="ListBullet"/>
      </w:pPr>
      <w:r>
        <w:t>Secure session management</w:t>
      </w:r>
    </w:p>
    <w:p>
      <w:pPr>
        <w:pStyle w:val="Heading2"/>
      </w:pPr>
      <w:r>
        <w:t>3. Role-Based Access Control (RBAC)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Access Scope</w:t>
            </w:r>
          </w:p>
        </w:tc>
        <w:tc>
          <w:tcPr>
            <w:tcW w:type="dxa" w:w="2880"/>
          </w:tcPr>
          <w:p>
            <w:r>
              <w:t>Examples</w:t>
            </w:r>
          </w:p>
        </w:tc>
      </w:tr>
      <w:tr>
        <w:tc>
          <w:tcPr>
            <w:tcW w:type="dxa" w:w="2880"/>
          </w:tcPr>
          <w:p>
            <w:r>
              <w:t>Student</w:t>
            </w:r>
          </w:p>
        </w:tc>
        <w:tc>
          <w:tcPr>
            <w:tcW w:type="dxa" w:w="2880"/>
          </w:tcPr>
          <w:p>
            <w:r>
              <w:t>Own data only</w:t>
            </w:r>
          </w:p>
        </w:tc>
        <w:tc>
          <w:tcPr>
            <w:tcW w:type="dxa" w:w="2880"/>
          </w:tcPr>
          <w:p>
            <w:r>
              <w:t>Courses, quizzes, submissions</w:t>
            </w:r>
          </w:p>
        </w:tc>
      </w:tr>
      <w:tr>
        <w:tc>
          <w:tcPr>
            <w:tcW w:type="dxa" w:w="2880"/>
          </w:tcPr>
          <w:p>
            <w:r>
              <w:t>Mentor</w:t>
            </w:r>
          </w:p>
        </w:tc>
        <w:tc>
          <w:tcPr>
            <w:tcW w:type="dxa" w:w="2880"/>
          </w:tcPr>
          <w:p>
            <w:r>
              <w:t>Assigned cohorts</w:t>
            </w:r>
          </w:p>
        </w:tc>
        <w:tc>
          <w:tcPr>
            <w:tcW w:type="dxa" w:w="2880"/>
          </w:tcPr>
          <w:p>
            <w:r>
              <w:t>Student 360, reviews, tasks</w:t>
            </w:r>
          </w:p>
        </w:tc>
      </w:tr>
      <w:tr>
        <w:tc>
          <w:tcPr>
            <w:tcW w:type="dxa" w:w="2880"/>
          </w:tcPr>
          <w:p>
            <w:r>
              <w:t>Reviewer</w:t>
            </w:r>
          </w:p>
        </w:tc>
        <w:tc>
          <w:tcPr>
            <w:tcW w:type="dxa" w:w="2880"/>
          </w:tcPr>
          <w:p>
            <w:r>
              <w:t>Assigned submissions</w:t>
            </w:r>
          </w:p>
        </w:tc>
        <w:tc>
          <w:tcPr>
            <w:tcW w:type="dxa" w:w="2880"/>
          </w:tcPr>
          <w:p>
            <w:r>
              <w:t>Rubric scoring, annotations</w:t>
            </w:r>
          </w:p>
        </w:tc>
      </w:tr>
      <w:tr>
        <w:tc>
          <w:tcPr>
            <w:tcW w:type="dxa" w:w="2880"/>
          </w:tcPr>
          <w:p>
            <w:r>
              <w:t>Administrator</w:t>
            </w:r>
          </w:p>
        </w:tc>
        <w:tc>
          <w:tcPr>
            <w:tcW w:type="dxa" w:w="2880"/>
          </w:tcPr>
          <w:p>
            <w:r>
              <w:t>Organization-wide</w:t>
            </w:r>
          </w:p>
        </w:tc>
        <w:tc>
          <w:tcPr>
            <w:tcW w:type="dxa" w:w="2880"/>
          </w:tcPr>
          <w:p>
            <w:r>
              <w:t>Users, CMS, reports</w:t>
            </w:r>
          </w:p>
        </w:tc>
      </w:tr>
      <w:tr>
        <w:tc>
          <w:tcPr>
            <w:tcW w:type="dxa" w:w="2880"/>
          </w:tcPr>
          <w:p>
            <w:r>
              <w:t>Guardian</w:t>
            </w:r>
          </w:p>
        </w:tc>
        <w:tc>
          <w:tcPr>
            <w:tcW w:type="dxa" w:w="2880"/>
          </w:tcPr>
          <w:p>
            <w:r>
              <w:t>Consented summaries</w:t>
            </w:r>
          </w:p>
        </w:tc>
        <w:tc>
          <w:tcPr>
            <w:tcW w:type="dxa" w:w="2880"/>
          </w:tcPr>
          <w:p>
            <w:r>
              <w:t>Student progress overview</w:t>
            </w:r>
          </w:p>
        </w:tc>
      </w:tr>
    </w:tbl>
    <w:p>
      <w:pPr>
        <w:pStyle w:val="Heading2"/>
      </w:pPr>
      <w:r>
        <w:t>4. Permission Model</w:t>
      </w:r>
    </w:p>
    <w:p>
      <w:pPr>
        <w:pStyle w:val="ListBullet"/>
      </w:pPr>
      <w:r>
        <w:t>Least-privilege principle</w:t>
      </w:r>
    </w:p>
    <w:p>
      <w:pPr>
        <w:pStyle w:val="ListBullet"/>
      </w:pPr>
      <w:r>
        <w:t>Server-side authorization for every API</w:t>
      </w:r>
    </w:p>
    <w:p>
      <w:pPr>
        <w:pStyle w:val="ListBullet"/>
      </w:pPr>
      <w:r>
        <w:t>Temporary elevated access with audit trail</w:t>
      </w:r>
    </w:p>
    <w:p>
      <w:pPr>
        <w:pStyle w:val="ListBullet"/>
      </w:pPr>
      <w:r>
        <w:t>Role and permission versioning</w:t>
      </w:r>
    </w:p>
    <w:p>
      <w:pPr>
        <w:pStyle w:val="Heading2"/>
      </w:pPr>
      <w:r>
        <w:t>5. API &amp; Application Security</w:t>
      </w:r>
    </w:p>
    <w:p>
      <w:pPr>
        <w:pStyle w:val="ListBullet"/>
      </w:pPr>
      <w:r>
        <w:t>HTTPS/TLS for all traffic</w:t>
      </w:r>
    </w:p>
    <w:p>
      <w:pPr>
        <w:pStyle w:val="ListBullet"/>
      </w:pPr>
      <w:r>
        <w:t>JWT or secure HttpOnly session cookies</w:t>
      </w:r>
    </w:p>
    <w:p>
      <w:pPr>
        <w:pStyle w:val="ListBullet"/>
      </w:pPr>
      <w:r>
        <w:t>CSRF protection where applicable</w:t>
      </w:r>
    </w:p>
    <w:p>
      <w:pPr>
        <w:pStyle w:val="ListBullet"/>
      </w:pPr>
      <w:r>
        <w:t>Rate limiting and brute-force protection</w:t>
      </w:r>
    </w:p>
    <w:p>
      <w:pPr>
        <w:pStyle w:val="ListBullet"/>
      </w:pPr>
      <w:r>
        <w:t>Input validation and output encoding</w:t>
      </w:r>
    </w:p>
    <w:p>
      <w:pPr>
        <w:pStyle w:val="ListBullet"/>
      </w:pPr>
      <w:r>
        <w:t>Protection against OWASP Top 10</w:t>
      </w:r>
    </w:p>
    <w:p>
      <w:pPr>
        <w:pStyle w:val="Heading2"/>
      </w:pPr>
      <w:r>
        <w:t>6. Data Protection</w:t>
      </w:r>
    </w:p>
    <w:p>
      <w:pPr>
        <w:pStyle w:val="ListBullet"/>
      </w:pPr>
      <w:r>
        <w:t>Encryption at rest for sensitive data</w:t>
      </w:r>
    </w:p>
    <w:p>
      <w:pPr>
        <w:pStyle w:val="ListBullet"/>
      </w:pPr>
      <w:r>
        <w:t>TLS encryption in transit</w:t>
      </w:r>
    </w:p>
    <w:p>
      <w:pPr>
        <w:pStyle w:val="ListBullet"/>
      </w:pPr>
      <w:r>
        <w:t>Passwords hashed with Argon2id or bcrypt</w:t>
      </w:r>
    </w:p>
    <w:p>
      <w:pPr>
        <w:pStyle w:val="ListBullet"/>
      </w:pPr>
      <w:r>
        <w:t>Private object storage for uploads</w:t>
      </w:r>
    </w:p>
    <w:p>
      <w:pPr>
        <w:pStyle w:val="ListBullet"/>
      </w:pPr>
      <w:r>
        <w:t>PII masking in reports where required</w:t>
      </w:r>
    </w:p>
    <w:p>
      <w:pPr>
        <w:pStyle w:val="Heading2"/>
      </w:pPr>
      <w:r>
        <w:t>7. Audit Logging</w:t>
      </w:r>
    </w:p>
    <w:p>
      <w:pPr>
        <w:pStyle w:val="ListBullet"/>
      </w:pPr>
      <w:r>
        <w:t>Authentication events</w:t>
      </w:r>
    </w:p>
    <w:p>
      <w:pPr>
        <w:pStyle w:val="ListBullet"/>
      </w:pPr>
      <w:r>
        <w:t>Permission changes</w:t>
      </w:r>
    </w:p>
    <w:p>
      <w:pPr>
        <w:pStyle w:val="ListBullet"/>
      </w:pPr>
      <w:r>
        <w:t>Administrative actions</w:t>
      </w:r>
    </w:p>
    <w:p>
      <w:pPr>
        <w:pStyle w:val="ListBullet"/>
      </w:pPr>
      <w:r>
        <w:t>Manual score changes</w:t>
      </w:r>
    </w:p>
    <w:p>
      <w:pPr>
        <w:pStyle w:val="ListBullet"/>
      </w:pPr>
      <w:r>
        <w:t>Payment actions</w:t>
      </w:r>
    </w:p>
    <w:p>
      <w:pPr>
        <w:pStyle w:val="ListBullet"/>
      </w:pPr>
      <w:r>
        <w:t>Content publication</w:t>
      </w:r>
    </w:p>
    <w:p>
      <w:pPr>
        <w:pStyle w:val="ListBullet"/>
      </w:pPr>
      <w:r>
        <w:t>Report exports</w:t>
      </w:r>
    </w:p>
    <w:p>
      <w:pPr>
        <w:pStyle w:val="Heading2"/>
      </w:pPr>
      <w:r>
        <w:t>8. Compliance &amp; Privacy</w:t>
      </w:r>
    </w:p>
    <w:p>
      <w:pPr>
        <w:pStyle w:val="ListBullet"/>
      </w:pPr>
      <w:r>
        <w:t>Consent management</w:t>
      </w:r>
    </w:p>
    <w:p>
      <w:pPr>
        <w:pStyle w:val="ListBullet"/>
      </w:pPr>
      <w:r>
        <w:t>Cookie preference handling</w:t>
      </w:r>
    </w:p>
    <w:p>
      <w:pPr>
        <w:pStyle w:val="ListBullet"/>
      </w:pPr>
      <w:r>
        <w:t>Data retention policies</w:t>
      </w:r>
    </w:p>
    <w:p>
      <w:pPr>
        <w:pStyle w:val="ListBullet"/>
      </w:pPr>
      <w:r>
        <w:t>Right-to-delete workflow</w:t>
      </w:r>
    </w:p>
    <w:p>
      <w:pPr>
        <w:pStyle w:val="ListBullet"/>
      </w:pPr>
      <w:r>
        <w:t>Guardian consent management</w:t>
      </w:r>
    </w:p>
    <w:p>
      <w:pPr>
        <w:pStyle w:val="Heading2"/>
      </w:pPr>
      <w:r>
        <w:t>9. Incident Response &amp; Monitoring</w:t>
      </w:r>
    </w:p>
    <w:p>
      <w:pPr>
        <w:pStyle w:val="ListBullet"/>
      </w:pPr>
      <w:r>
        <w:t>Security event monitoring</w:t>
      </w:r>
    </w:p>
    <w:p>
      <w:pPr>
        <w:pStyle w:val="ListBullet"/>
      </w:pPr>
      <w:r>
        <w:t>Automated alerts</w:t>
      </w:r>
    </w:p>
    <w:p>
      <w:pPr>
        <w:pStyle w:val="ListBullet"/>
      </w:pPr>
      <w:r>
        <w:t>Backup verification</w:t>
      </w:r>
    </w:p>
    <w:p>
      <w:pPr>
        <w:pStyle w:val="ListBullet"/>
      </w:pPr>
      <w:r>
        <w:t>Disaster recovery procedures</w:t>
      </w:r>
    </w:p>
    <w:p>
      <w:pPr>
        <w:pStyle w:val="ListBullet"/>
      </w:pPr>
      <w:r>
        <w:t>Periodic penetration testing</w:t>
      </w:r>
    </w:p>
    <w:p>
      <w:pPr>
        <w:pStyle w:val="Heading2"/>
      </w:pPr>
      <w:r>
        <w:t>10. Success Criteria</w:t>
      </w:r>
    </w:p>
    <w:p>
      <w:pPr>
        <w:pStyle w:val="ListBullet"/>
      </w:pPr>
      <w:r>
        <w:t>100% server-side authorization coverage</w:t>
      </w:r>
    </w:p>
    <w:p>
      <w:pPr>
        <w:pStyle w:val="ListBullet"/>
      </w:pPr>
      <w:r>
        <w:t>Audit trail for privileged actions</w:t>
      </w:r>
    </w:p>
    <w:p>
      <w:pPr>
        <w:pStyle w:val="ListBullet"/>
      </w:pPr>
      <w:r>
        <w:t>Successful backup and restore testing</w:t>
      </w:r>
    </w:p>
    <w:p>
      <w:pPr>
        <w:pStyle w:val="ListBullet"/>
      </w:pPr>
      <w:r>
        <w:t>Zero critical security vulnerabilities before release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