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GOVERNANCE, PRIVACY &amp; INFORMATION LIFECYCLE SPECIFICATION</w:t>
      </w:r>
    </w:p>
    <w:p>
      <w:r>
        <w:t>Document: DATA-27</w:t>
        <w:br/>
        <w:t>Version: 1.0</w:t>
      </w:r>
    </w:p>
    <w:p>
      <w:pPr>
        <w:pStyle w:val="Heading2"/>
      </w:pPr>
      <w:r>
        <w:t>1. Purpose</w:t>
      </w:r>
    </w:p>
    <w:p>
      <w:r>
        <w:t>Defines data governance policies, privacy principles, ownership, lifecycle management and information handling requirements for the Exam Preparation Platform.</w:t>
      </w:r>
    </w:p>
    <w:p>
      <w:pPr>
        <w:pStyle w:val="Heading2"/>
      </w:pPr>
      <w:r>
        <w:t>2. Data Classification</w:t>
      </w:r>
    </w:p>
    <w:p>
      <w:pPr>
        <w:pStyle w:val="ListBullet"/>
      </w:pPr>
      <w:r>
        <w:t>Public</w:t>
      </w:r>
    </w:p>
    <w:p>
      <w:pPr>
        <w:pStyle w:val="ListBullet"/>
      </w:pPr>
      <w:r>
        <w:t>Internal</w:t>
      </w:r>
    </w:p>
    <w:p>
      <w:pPr>
        <w:pStyle w:val="ListBullet"/>
      </w:pPr>
      <w:r>
        <w:t>Confidential</w:t>
      </w:r>
    </w:p>
    <w:p>
      <w:pPr>
        <w:pStyle w:val="ListBullet"/>
      </w:pPr>
      <w:r>
        <w:t>Restricted / Sensitive (PII, payment references, assessment data)</w:t>
      </w:r>
    </w:p>
    <w:p>
      <w:pPr>
        <w:pStyle w:val="Heading2"/>
      </w:pPr>
      <w:r>
        <w:t>3. Data Ownership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Data Steward</w:t>
      </w:r>
    </w:p>
    <w:p>
      <w:pPr>
        <w:pStyle w:val="ListBullet"/>
      </w:pPr>
      <w:r>
        <w:t>System Owner</w:t>
      </w:r>
    </w:p>
    <w:p>
      <w:pPr>
        <w:pStyle w:val="ListBullet"/>
      </w:pPr>
      <w:r>
        <w:t>Security Owner</w:t>
      </w:r>
    </w:p>
    <w:p>
      <w:pPr>
        <w:pStyle w:val="ListBullet"/>
      </w:pPr>
      <w:r>
        <w:t>Compliance Owner</w:t>
      </w:r>
    </w:p>
    <w:p>
      <w:pPr>
        <w:pStyle w:val="Heading2"/>
      </w:pPr>
      <w:r>
        <w:t>4. Information Lifecycle</w:t>
      </w:r>
    </w:p>
    <w:p>
      <w:pPr>
        <w:pStyle w:val="ListBullet"/>
      </w:pPr>
      <w:r>
        <w:t>Create</w:t>
      </w:r>
    </w:p>
    <w:p>
      <w:pPr>
        <w:pStyle w:val="ListBullet"/>
      </w:pPr>
      <w:r>
        <w:t>Validate</w:t>
      </w:r>
    </w:p>
    <w:p>
      <w:pPr>
        <w:pStyle w:val="ListBullet"/>
      </w:pPr>
      <w:r>
        <w:t>Store</w:t>
      </w:r>
    </w:p>
    <w:p>
      <w:pPr>
        <w:pStyle w:val="ListBullet"/>
      </w:pPr>
      <w:r>
        <w:t>Use</w:t>
      </w:r>
    </w:p>
    <w:p>
      <w:pPr>
        <w:pStyle w:val="ListBullet"/>
      </w:pPr>
      <w:r>
        <w:t>Share</w:t>
      </w:r>
    </w:p>
    <w:p>
      <w:pPr>
        <w:pStyle w:val="ListBullet"/>
      </w:pPr>
      <w:r>
        <w:t>Archive</w:t>
      </w:r>
    </w:p>
    <w:p>
      <w:pPr>
        <w:pStyle w:val="ListBullet"/>
      </w:pPr>
      <w:r>
        <w:t>Retain</w:t>
      </w:r>
    </w:p>
    <w:p>
      <w:pPr>
        <w:pStyle w:val="ListBullet"/>
      </w:pPr>
      <w:r>
        <w:t>Delete / Dispose</w:t>
      </w:r>
    </w:p>
    <w:p>
      <w:pPr>
        <w:pStyle w:val="Heading2"/>
      </w:pPr>
      <w:r>
        <w:t>5. Data Quality Standards</w:t>
      </w:r>
    </w:p>
    <w:p>
      <w:pPr>
        <w:pStyle w:val="ListBullet"/>
      </w:pPr>
      <w:r>
        <w:t>Accuracy</w:t>
      </w:r>
    </w:p>
    <w:p>
      <w:pPr>
        <w:pStyle w:val="ListBullet"/>
      </w:pPr>
      <w:r>
        <w:t>Completeness</w:t>
      </w:r>
    </w:p>
    <w:p>
      <w:pPr>
        <w:pStyle w:val="ListBullet"/>
      </w:pPr>
      <w:r>
        <w:t>Consistency</w:t>
      </w:r>
    </w:p>
    <w:p>
      <w:pPr>
        <w:pStyle w:val="ListBullet"/>
      </w:pPr>
      <w:r>
        <w:t>Timeliness</w:t>
      </w:r>
    </w:p>
    <w:p>
      <w:pPr>
        <w:pStyle w:val="ListBullet"/>
      </w:pPr>
      <w:r>
        <w:t>Uniqueness</w:t>
      </w:r>
    </w:p>
    <w:p>
      <w:pPr>
        <w:pStyle w:val="ListBullet"/>
      </w:pPr>
      <w:r>
        <w:t>Validity</w:t>
      </w:r>
    </w:p>
    <w:p>
      <w:pPr>
        <w:pStyle w:val="Heading2"/>
      </w:pPr>
      <w:r>
        <w:t>6. Privacy Principles</w:t>
      </w:r>
    </w:p>
    <w:p>
      <w:pPr>
        <w:pStyle w:val="ListBullet"/>
      </w:pPr>
      <w:r>
        <w:t>Privacy by Design</w:t>
      </w:r>
    </w:p>
    <w:p>
      <w:pPr>
        <w:pStyle w:val="ListBullet"/>
      </w:pPr>
      <w:r>
        <w:t>Purpose limitation</w:t>
      </w:r>
    </w:p>
    <w:p>
      <w:pPr>
        <w:pStyle w:val="ListBullet"/>
      </w:pPr>
      <w:r>
        <w:t>Data minimization</w:t>
      </w:r>
    </w:p>
    <w:p>
      <w:pPr>
        <w:pStyle w:val="ListBullet"/>
      </w:pPr>
      <w:r>
        <w:t>Consent-driven processing</w:t>
      </w:r>
    </w:p>
    <w:p>
      <w:pPr>
        <w:pStyle w:val="ListBullet"/>
      </w:pPr>
      <w:r>
        <w:t>Least-privilege access</w:t>
      </w:r>
    </w:p>
    <w:p>
      <w:pPr>
        <w:pStyle w:val="ListBullet"/>
      </w:pPr>
      <w:r>
        <w:t>Transparency and accountability</w:t>
      </w:r>
    </w:p>
    <w:p>
      <w:pPr>
        <w:pStyle w:val="Heading2"/>
      </w:pPr>
      <w:r>
        <w:t>7. Retention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Disposal</w:t>
            </w:r>
          </w:p>
        </w:tc>
      </w:tr>
      <w:tr>
        <w:tc>
          <w:tcPr>
            <w:tcW w:type="dxa" w:w="2880"/>
          </w:tcPr>
          <w:p>
            <w:r>
              <w:t>User Profile</w:t>
            </w:r>
          </w:p>
        </w:tc>
        <w:tc>
          <w:tcPr>
            <w:tcW w:type="dxa" w:w="2880"/>
          </w:tcPr>
          <w:p>
            <w:r>
              <w:t>Per policy</w:t>
            </w:r>
          </w:p>
        </w:tc>
        <w:tc>
          <w:tcPr>
            <w:tcW w:type="dxa" w:w="2880"/>
          </w:tcPr>
          <w:p>
            <w:r>
              <w:t>Secure deletion</w:t>
            </w:r>
          </w:p>
        </w:tc>
      </w:tr>
      <w:tr>
        <w:tc>
          <w:tcPr>
            <w:tcW w:type="dxa" w:w="2880"/>
          </w:tcPr>
          <w:p>
            <w:r>
              <w:t>Quiz Attempts</w:t>
            </w:r>
          </w:p>
        </w:tc>
        <w:tc>
          <w:tcPr>
            <w:tcW w:type="dxa" w:w="2880"/>
          </w:tcPr>
          <w:p>
            <w:r>
              <w:t>Per academic policy</w:t>
            </w:r>
          </w:p>
        </w:tc>
        <w:tc>
          <w:tcPr>
            <w:tcW w:type="dxa" w:w="2880"/>
          </w:tcPr>
          <w:p>
            <w:r>
              <w:t>Archive then purge</w:t>
            </w:r>
          </w:p>
        </w:tc>
      </w:tr>
      <w:tr>
        <w:tc>
          <w:tcPr>
            <w:tcW w:type="dxa" w:w="2880"/>
          </w:tcPr>
          <w:p>
            <w:r>
              <w:t>Creative Submissions</w:t>
            </w:r>
          </w:p>
        </w:tc>
        <w:tc>
          <w:tcPr>
            <w:tcW w:type="dxa" w:w="2880"/>
          </w:tcPr>
          <w:p>
            <w:r>
              <w:t>Per course policy</w:t>
            </w:r>
          </w:p>
        </w:tc>
        <w:tc>
          <w:tcPr>
            <w:tcW w:type="dxa" w:w="2880"/>
          </w:tcPr>
          <w:p>
            <w:r>
              <w:t>Secure deletion</w:t>
            </w:r>
          </w:p>
        </w:tc>
      </w:tr>
      <w:tr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Long-term</w:t>
            </w:r>
          </w:p>
        </w:tc>
        <w:tc>
          <w:tcPr>
            <w:tcW w:type="dxa" w:w="2880"/>
          </w:tcPr>
          <w:p>
            <w:r>
              <w:t>Controlled archival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Per financial regulations</w:t>
            </w:r>
          </w:p>
        </w:tc>
        <w:tc>
          <w:tcPr>
            <w:tcW w:type="dxa" w:w="2880"/>
          </w:tcPr>
          <w:p>
            <w:r>
              <w:t>Archive</w:t>
            </w:r>
          </w:p>
        </w:tc>
      </w:tr>
    </w:tbl>
    <w:p>
      <w:pPr>
        <w:pStyle w:val="Heading2"/>
      </w:pPr>
      <w:r>
        <w:t>8. Data Subject Rights</w:t>
      </w:r>
    </w:p>
    <w:p>
      <w:pPr>
        <w:pStyle w:val="ListBullet"/>
      </w:pPr>
      <w:r>
        <w:t>Access</w:t>
      </w:r>
    </w:p>
    <w:p>
      <w:pPr>
        <w:pStyle w:val="ListBullet"/>
      </w:pPr>
      <w:r>
        <w:t>Correction</w:t>
      </w:r>
    </w:p>
    <w:p>
      <w:pPr>
        <w:pStyle w:val="ListBullet"/>
      </w:pPr>
      <w:r>
        <w:t>Export</w:t>
      </w:r>
    </w:p>
    <w:p>
      <w:pPr>
        <w:pStyle w:val="ListBullet"/>
      </w:pPr>
      <w:r>
        <w:t>Deletion (where applicable)</w:t>
      </w:r>
    </w:p>
    <w:p>
      <w:pPr>
        <w:pStyle w:val="ListBullet"/>
      </w:pPr>
      <w:r>
        <w:t>Consent withdrawal</w:t>
      </w:r>
    </w:p>
    <w:p>
      <w:pPr>
        <w:pStyle w:val="ListBullet"/>
      </w:pPr>
      <w:r>
        <w:t>Processing history</w:t>
      </w:r>
    </w:p>
    <w:p>
      <w:pPr>
        <w:pStyle w:val="Heading2"/>
      </w:pPr>
      <w:r>
        <w:t>9. Governance Controls</w:t>
      </w:r>
    </w:p>
    <w:p>
      <w:pPr>
        <w:pStyle w:val="ListBullet"/>
      </w:pPr>
      <w:r>
        <w:t>Encryption at rest and in transit</w:t>
      </w:r>
    </w:p>
    <w:p>
      <w:pPr>
        <w:pStyle w:val="ListBullet"/>
      </w:pPr>
      <w:r>
        <w:t>Key management</w:t>
      </w:r>
    </w:p>
    <w:p>
      <w:pPr>
        <w:pStyle w:val="ListBullet"/>
      </w:pPr>
      <w:r>
        <w:t>Audit trails</w:t>
      </w:r>
    </w:p>
    <w:p>
      <w:pPr>
        <w:pStyle w:val="ListBullet"/>
      </w:pPr>
      <w:r>
        <w:t>Periodic access reviews</w:t>
      </w:r>
    </w:p>
    <w:p>
      <w:pPr>
        <w:pStyle w:val="ListBullet"/>
      </w:pPr>
      <w:r>
        <w:t>Metadata standards</w:t>
      </w:r>
    </w:p>
    <w:p>
      <w:pPr>
        <w:pStyle w:val="ListBullet"/>
      </w:pPr>
      <w:r>
        <w:t>Data lineage where applicable</w:t>
      </w:r>
    </w:p>
    <w:p>
      <w:pPr>
        <w:pStyle w:val="Heading2"/>
      </w:pPr>
      <w:r>
        <w:t>10. Success Metrics</w:t>
      </w:r>
    </w:p>
    <w:p>
      <w:pPr>
        <w:pStyle w:val="ListBullet"/>
      </w:pPr>
      <w:r>
        <w:t>Data quality score</w:t>
      </w:r>
    </w:p>
    <w:p>
      <w:pPr>
        <w:pStyle w:val="ListBullet"/>
      </w:pPr>
      <w:r>
        <w:t>Privacy request turnaround</w:t>
      </w:r>
    </w:p>
    <w:p>
      <w:pPr>
        <w:pStyle w:val="ListBullet"/>
      </w:pPr>
      <w:r>
        <w:t>Access review completion</w:t>
      </w:r>
    </w:p>
    <w:p>
      <w:pPr>
        <w:pStyle w:val="ListBullet"/>
      </w:pPr>
      <w:r>
        <w:t>Compliance audit success rate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