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LIFECYCLE &amp; LEARNING JOURNEY SPECIFICATION</w:t>
      </w:r>
    </w:p>
    <w:p>
      <w:r>
        <w:t>Document: STUDENT-30</w:t>
        <w:br/>
        <w:t>Version: 1.0</w:t>
      </w:r>
    </w:p>
    <w:p>
      <w:pPr>
        <w:pStyle w:val="Heading2"/>
      </w:pPr>
      <w:r>
        <w:t>1. Purpose</w:t>
      </w:r>
    </w:p>
    <w:p>
      <w:r>
        <w:t>Defines the complete learner journey from initial discovery through enrollment, learning, mentoring, assessment, completion and long-term engagement.</w:t>
      </w:r>
    </w:p>
    <w:p>
      <w:pPr>
        <w:pStyle w:val="Heading2"/>
      </w:pPr>
      <w:r>
        <w:t>2. Lifecycle Stages</w:t>
      </w:r>
    </w:p>
    <w:p>
      <w:pPr>
        <w:pStyle w:val="ListBullet"/>
      </w:pPr>
      <w:r>
        <w:t>Lead acquisition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Email/OTP verification</w:t>
      </w:r>
    </w:p>
    <w:p>
      <w:pPr>
        <w:pStyle w:val="ListBullet"/>
      </w:pPr>
      <w:r>
        <w:t>Profile completion</w:t>
      </w:r>
    </w:p>
    <w:p>
      <w:pPr>
        <w:pStyle w:val="ListBullet"/>
      </w:pPr>
      <w:r>
        <w:t>Diagnostic assessment</w:t>
      </w:r>
    </w:p>
    <w:p>
      <w:pPr>
        <w:pStyle w:val="ListBullet"/>
      </w:pPr>
      <w:r>
        <w:t>Course enrollment</w:t>
      </w:r>
    </w:p>
    <w:p>
      <w:pPr>
        <w:pStyle w:val="ListBullet"/>
      </w:pPr>
      <w:r>
        <w:t>Personalized learning plan</w:t>
      </w:r>
    </w:p>
    <w:p>
      <w:pPr>
        <w:pStyle w:val="ListBullet"/>
      </w:pPr>
      <w:r>
        <w:t>Daily learning</w:t>
      </w:r>
    </w:p>
    <w:p>
      <w:pPr>
        <w:pStyle w:val="ListBullet"/>
      </w:pPr>
      <w:r>
        <w:t>Practice &amp; revision</w:t>
      </w:r>
    </w:p>
    <w:p>
      <w:pPr>
        <w:pStyle w:val="ListBullet"/>
      </w:pPr>
      <w:r>
        <w:t>Mock examinations</w:t>
      </w:r>
    </w:p>
    <w:p>
      <w:pPr>
        <w:pStyle w:val="ListBullet"/>
      </w:pPr>
      <w:r>
        <w:t>Creative assignments</w:t>
      </w:r>
    </w:p>
    <w:p>
      <w:pPr>
        <w:pStyle w:val="ListBullet"/>
      </w:pPr>
      <w:r>
        <w:t>Mentor guidance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Course completion</w:t>
      </w:r>
    </w:p>
    <w:p>
      <w:pPr>
        <w:pStyle w:val="ListBullet"/>
      </w:pPr>
      <w:r>
        <w:t>Certification (if applicable)</w:t>
      </w:r>
    </w:p>
    <w:p>
      <w:pPr>
        <w:pStyle w:val="ListBullet"/>
      </w:pPr>
      <w:r>
        <w:t>Alumni engagement</w:t>
      </w:r>
    </w:p>
    <w:p>
      <w:pPr>
        <w:pStyle w:val="ListBullet"/>
      </w:pPr>
      <w:r>
        <w:t>Re-engagement campaigns</w:t>
      </w:r>
    </w:p>
    <w:p>
      <w:pPr>
        <w:pStyle w:val="Heading2"/>
      </w:pPr>
      <w:r>
        <w:t>3. Onboarding Flow</w:t>
      </w:r>
    </w:p>
    <w:p>
      <w:pPr>
        <w:pStyle w:val="ListBullet"/>
      </w:pPr>
      <w:r>
        <w:t>Create account</w:t>
      </w:r>
    </w:p>
    <w:p>
      <w:pPr>
        <w:pStyle w:val="ListBullet"/>
      </w:pPr>
      <w:r>
        <w:t>Verify identity</w:t>
      </w:r>
    </w:p>
    <w:p>
      <w:pPr>
        <w:pStyle w:val="ListBullet"/>
      </w:pPr>
      <w:r>
        <w:t>Select target exam</w:t>
      </w:r>
    </w:p>
    <w:p>
      <w:pPr>
        <w:pStyle w:val="ListBullet"/>
      </w:pPr>
      <w:r>
        <w:t>Complete learner profile</w:t>
      </w:r>
    </w:p>
    <w:p>
      <w:pPr>
        <w:pStyle w:val="ListBullet"/>
      </w:pPr>
      <w:r>
        <w:t>Take diagnostic assessment</w:t>
      </w:r>
    </w:p>
    <w:p>
      <w:pPr>
        <w:pStyle w:val="ListBullet"/>
      </w:pPr>
      <w:r>
        <w:t>Receive recommended study plan</w:t>
      </w:r>
    </w:p>
    <w:p>
      <w:pPr>
        <w:pStyle w:val="ListBullet"/>
      </w:pPr>
      <w:r>
        <w:t>Start first module</w:t>
      </w:r>
    </w:p>
    <w:p>
      <w:pPr>
        <w:pStyle w:val="Heading2"/>
      </w:pPr>
      <w:r>
        <w:t>4. Daily Learning Journey</w:t>
      </w:r>
    </w:p>
    <w:p>
      <w:pPr>
        <w:pStyle w:val="ListBullet"/>
      </w:pPr>
      <w:r>
        <w:t>Resume last activity</w:t>
      </w:r>
    </w:p>
    <w:p>
      <w:pPr>
        <w:pStyle w:val="ListBullet"/>
      </w:pPr>
      <w:r>
        <w:t>Complete modules</w:t>
      </w:r>
    </w:p>
    <w:p>
      <w:pPr>
        <w:pStyle w:val="ListBullet"/>
      </w:pPr>
      <w:r>
        <w:t>Attempt quizzes</w:t>
      </w:r>
    </w:p>
    <w:p>
      <w:pPr>
        <w:pStyle w:val="ListBullet"/>
      </w:pPr>
      <w:r>
        <w:t>Review explanations</w:t>
      </w:r>
    </w:p>
    <w:p>
      <w:pPr>
        <w:pStyle w:val="ListBullet"/>
      </w:pPr>
      <w:r>
        <w:t>Practice weak topics</w:t>
      </w:r>
    </w:p>
    <w:p>
      <w:pPr>
        <w:pStyle w:val="ListBullet"/>
      </w:pPr>
      <w:r>
        <w:t>Submit creative assignments</w:t>
      </w:r>
    </w:p>
    <w:p>
      <w:pPr>
        <w:pStyle w:val="ListBullet"/>
      </w:pPr>
      <w:r>
        <w:t>Track daily goals</w:t>
      </w:r>
    </w:p>
    <w:p>
      <w:pPr>
        <w:pStyle w:val="ListBullet"/>
      </w:pPr>
      <w:r>
        <w:t>Receive reminders</w:t>
      </w:r>
    </w:p>
    <w:p>
      <w:pPr>
        <w:pStyle w:val="Heading2"/>
      </w:pPr>
      <w:r>
        <w:t>5. Mentor Interaction</w:t>
      </w:r>
    </w:p>
    <w:p>
      <w:pPr>
        <w:pStyle w:val="ListBullet"/>
      </w:pPr>
      <w:r>
        <w:t>Mentor assigned to cohort</w:t>
      </w:r>
    </w:p>
    <w:p>
      <w:pPr>
        <w:pStyle w:val="ListBullet"/>
      </w:pPr>
      <w:r>
        <w:t>Student 360 review</w:t>
      </w:r>
    </w:p>
    <w:p>
      <w:pPr>
        <w:pStyle w:val="ListBullet"/>
      </w:pPr>
      <w:r>
        <w:t>Personalized tasks</w:t>
      </w:r>
    </w:p>
    <w:p>
      <w:pPr>
        <w:pStyle w:val="ListBullet"/>
      </w:pPr>
      <w:r>
        <w:t>Feedback sessions</w:t>
      </w:r>
    </w:p>
    <w:p>
      <w:pPr>
        <w:pStyle w:val="ListBullet"/>
      </w:pPr>
      <w:r>
        <w:t>Doubt resolution</w:t>
      </w:r>
    </w:p>
    <w:p>
      <w:pPr>
        <w:pStyle w:val="ListBullet"/>
      </w:pPr>
      <w:r>
        <w:t>Performance intervention</w:t>
      </w:r>
    </w:p>
    <w:p>
      <w:pPr>
        <w:pStyle w:val="Heading2"/>
      </w:pPr>
      <w:r>
        <w:t>6. Progress &amp; Achievement</w:t>
      </w:r>
    </w:p>
    <w:p>
      <w:pPr>
        <w:pStyle w:val="ListBullet"/>
      </w:pPr>
      <w:r>
        <w:t>XP and badges</w:t>
      </w:r>
    </w:p>
    <w:p>
      <w:pPr>
        <w:pStyle w:val="ListBullet"/>
      </w:pPr>
      <w:r>
        <w:t>Learning streaks</w:t>
      </w:r>
    </w:p>
    <w:p>
      <w:pPr>
        <w:pStyle w:val="ListBullet"/>
      </w:pPr>
      <w:r>
        <w:t>Topic mastery</w:t>
      </w:r>
    </w:p>
    <w:p>
      <w:pPr>
        <w:pStyle w:val="ListBullet"/>
      </w:pPr>
      <w:r>
        <w:t>Milestone tracking</w:t>
      </w:r>
    </w:p>
    <w:p>
      <w:pPr>
        <w:pStyle w:val="ListBullet"/>
      </w:pPr>
      <w:r>
        <w:t>Course completion</w:t>
      </w:r>
    </w:p>
    <w:p>
      <w:pPr>
        <w:pStyle w:val="ListBullet"/>
      </w:pPr>
      <w:r>
        <w:t>Performance reports</w:t>
      </w:r>
    </w:p>
    <w:p>
      <w:pPr>
        <w:pStyle w:val="Heading2"/>
      </w:pPr>
      <w:r>
        <w:t>7. Retention &amp; Re-engagement</w:t>
      </w:r>
    </w:p>
    <w:p>
      <w:pPr>
        <w:pStyle w:val="ListBullet"/>
      </w:pPr>
      <w:r>
        <w:t>Inactivity detection</w:t>
      </w:r>
    </w:p>
    <w:p>
      <w:pPr>
        <w:pStyle w:val="ListBullet"/>
      </w:pPr>
      <w:r>
        <w:t>Reminder notifications</w:t>
      </w:r>
    </w:p>
    <w:p>
      <w:pPr>
        <w:pStyle w:val="ListBullet"/>
      </w:pPr>
      <w:r>
        <w:t>Recommended revision plans</w:t>
      </w:r>
    </w:p>
    <w:p>
      <w:pPr>
        <w:pStyle w:val="ListBullet"/>
      </w:pPr>
      <w:r>
        <w:t>Special events and webinars</w:t>
      </w:r>
    </w:p>
    <w:p>
      <w:pPr>
        <w:pStyle w:val="ListBullet"/>
      </w:pPr>
      <w:r>
        <w:t>New course recommendations</w:t>
      </w:r>
    </w:p>
    <w:p>
      <w:pPr>
        <w:pStyle w:val="Heading2"/>
      </w:pPr>
      <w:r>
        <w:t>8.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Activation Rate</w:t>
            </w:r>
          </w:p>
        </w:tc>
        <w:tc>
          <w:tcPr>
            <w:tcW w:type="dxa" w:w="4320"/>
          </w:tcPr>
          <w:p>
            <w:r>
              <w:t>Successful onboarding</w:t>
            </w:r>
          </w:p>
        </w:tc>
      </w:tr>
      <w:tr>
        <w:tc>
          <w:tcPr>
            <w:tcW w:type="dxa" w:w="4320"/>
          </w:tcPr>
          <w:p>
            <w:r>
              <w:t>Course Completion</w:t>
            </w:r>
          </w:p>
        </w:tc>
        <w:tc>
          <w:tcPr>
            <w:tcW w:type="dxa" w:w="4320"/>
          </w:tcPr>
          <w:p>
            <w:r>
              <w:t>Learning success</w:t>
            </w:r>
          </w:p>
        </w:tc>
      </w:tr>
      <w:tr>
        <w:tc>
          <w:tcPr>
            <w:tcW w:type="dxa" w:w="4320"/>
          </w:tcPr>
          <w:p>
            <w:r>
              <w:t>Weekly Active Learners</w:t>
            </w:r>
          </w:p>
        </w:tc>
        <w:tc>
          <w:tcPr>
            <w:tcW w:type="dxa" w:w="4320"/>
          </w:tcPr>
          <w:p>
            <w:r>
              <w:t>Engagement</w:t>
            </w:r>
          </w:p>
        </w:tc>
      </w:tr>
      <w:tr>
        <w:tc>
          <w:tcPr>
            <w:tcW w:type="dxa" w:w="4320"/>
          </w:tcPr>
          <w:p>
            <w:r>
              <w:t>Mock Test Improvement</w:t>
            </w:r>
          </w:p>
        </w:tc>
        <w:tc>
          <w:tcPr>
            <w:tcW w:type="dxa" w:w="4320"/>
          </w:tcPr>
          <w:p>
            <w:r>
              <w:t>Knowledge growth</w:t>
            </w:r>
          </w:p>
        </w:tc>
      </w:tr>
      <w:tr>
        <w:tc>
          <w:tcPr>
            <w:tcW w:type="dxa" w:w="4320"/>
          </w:tcPr>
          <w:p>
            <w:r>
              <w:t>Retention Rate</w:t>
            </w:r>
          </w:p>
        </w:tc>
        <w:tc>
          <w:tcPr>
            <w:tcW w:type="dxa" w:w="4320"/>
          </w:tcPr>
          <w:p>
            <w:r>
              <w:t>Long-term participation</w:t>
            </w:r>
          </w:p>
        </w:tc>
      </w:tr>
      <w:tr>
        <w:tc>
          <w:tcPr>
            <w:tcW w:type="dxa" w:w="4320"/>
          </w:tcPr>
          <w:p>
            <w:r>
              <w:t>Mentor Satisfaction</w:t>
            </w:r>
          </w:p>
        </w:tc>
        <w:tc>
          <w:tcPr>
            <w:tcW w:type="dxa" w:w="4320"/>
          </w:tcPr>
          <w:p>
            <w:r>
              <w:t>Guidance quality</w:t>
            </w:r>
          </w:p>
        </w:tc>
      </w:tr>
    </w:tbl>
    <w:p>
      <w:pPr>
        <w:pStyle w:val="Heading2"/>
      </w:pPr>
      <w:r>
        <w:t>9. Governance</w:t>
      </w:r>
    </w:p>
    <w:p>
      <w:pPr>
        <w:pStyle w:val="ListBullet"/>
      </w:pPr>
      <w:r>
        <w:t>Consent-aware communications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Audit trail for mentoring</w:t>
      </w:r>
    </w:p>
    <w:p>
      <w:pPr>
        <w:pStyle w:val="ListBullet"/>
      </w:pPr>
      <w:r>
        <w:t>Privacy-compliant learner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