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Financial Services Ltd</w:t>
      </w:r>
    </w:p>
    <w:p>
      <w:pPr>
        <w:pStyle w:val="Heading1"/>
      </w:pPr>
      <w:r>
        <w:t>Corporate Governance and Operational Policy</w:t>
      </w:r>
    </w:p>
    <w:p>
      <w:pPr>
        <w:pStyle w:val="Heading2"/>
      </w:pPr>
      <w:r>
        <w:t>Board Composition</w:t>
      </w:r>
    </w:p>
    <w:p>
      <w:r>
        <w:t>The Board of Directors comprises five members: three executive directors (CEO, CFO, CRO) and two independent non-executive directors. The Chair is an independent non-executive director, Ms. A. Hoffman, appointed in 2021. The Board meets quarterly. An Audit Committee and a Risk Committee are in place, each chaired by an independent director. No director holds a material interest in any competitor firm. Beneficial ownership is held 51% by Meridian Group BV (Netherlands) and 49% by institutional investors. Ultimate beneficial owner: Mr. K. Brandt (German national), holding 34% through Meridian Group BV, declared in accordance with EU transparency requirements.</w:t>
      </w:r>
    </w:p>
    <w:p>
      <w:pPr>
        <w:pStyle w:val="Heading2"/>
      </w:pPr>
      <w:r>
        <w:t>Remuneration Policy</w:t>
      </w:r>
    </w:p>
    <w:p>
      <w:r>
        <w:t>Executive remuneration is subject to board approval and benchmarked annually against sector peers. Variable pay is capped at 100% of fixed salary in accordance with CRD V requirements. No guaranteed bonuses are offered. A clawback policy has been in place since 2022.</w:t>
      </w:r>
    </w:p>
    <w:p>
      <w:pPr>
        <w:pStyle w:val="Heading2"/>
      </w:pPr>
      <w:r>
        <w:t>Business Continuity and Disaster Recovery</w:t>
      </w:r>
    </w:p>
    <w:p>
      <w:r>
        <w:t>The firm maintains a Business Continuity Plan (BCP) reviewed annually, last reviewed January 2025. Recovery Time Objective (RTO) for core payment systems is 4 hours. Recovery Point Objective (RPO) is 1 hour. A full DR test was conducted in October 2024; all critical systems were restored within the defined RTO. The firm operates a hot standby environment in AWS EU-Central as a secondary site. Staff are trained in BCP procedures annually. The BCP covers pandemic, cyberattack, and infrastructure failure scenarios.</w:t>
      </w:r>
    </w:p>
    <w:p>
      <w:pPr>
        <w:pStyle w:val="Heading2"/>
      </w:pPr>
      <w:r>
        <w:t>Incident Management</w:t>
      </w:r>
    </w:p>
    <w:p>
      <w:r>
        <w:t>All operational incidents are logged in the firm's incident management system. In 2024, three P2 incidents were recorded, all resolved within SLA. No P1 (critical) incidents occurred. Average resolution time for P2 incidents: 3.2 hours against an SLA of 6 hours. Incidents are reported to the Risk Committee on a quarterly basis. A post-incident review is mandatory for all P2 and above.</w:t>
      </w:r>
    </w:p>
    <w:p>
      <w:pPr>
        <w:pStyle w:val="Heading2"/>
      </w:pPr>
      <w:r>
        <w:t>AML and KYC Framework</w:t>
      </w:r>
    </w:p>
    <w:p>
      <w:r>
        <w:t>The firm operates a three-lines-of-defence model for AML compliance. Customer onboarding requires full KYC documentation including proof of identity, proof of address, and source of funds declaration for transactions above EUR 10,000. Enhanced Due Diligence is applied to all Politically Exposed Persons and high-risk jurisdictions as defined by FATF. Transaction monitoring is performed using automated rule-based screening. Suspicious Activity Reports are filed with the relevant Financial Intelligence Unit within 24 hours of identification. The MLRO position is held by Ms. C. Dijkstra, appointed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