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app0.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schemas.openxmlformats.org/officeDocument/2006/relationships/extendedProperties" Target="docProps/app0.xml"/></Relationships>
</file>

<file path=word/document.xml><?xml version="1.0" encoding="utf-8"?>
<w:document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conformance="strict">
  <w:body>
    <w:p w:rsidR="005C3F40" w:rsidRDefault="00897EB5" w:rsidP="00841333">
      <w:pPr>
        <w:pStyle w:val="papertitle"/>
        <w:jc w:val="start"/>
      </w:pPr>
      <w:r>
        <w:rPr>
          <w:b/>
        </w:rPr>
        <w:t xml:space="preserve">JURY-AI: </w:t>
      </w:r>
      <w:r>
        <w:rPr>
          <w:b/>
        </w:rPr>
        <w:t>An Intelligent Legal Document Analysis Platform Using Retrieval-Augmented Generation and Large Language Models</w:t>
      </w:r>
    </w:p>
    <w:p w:rsidR="005C3F40" w:rsidRDefault="00897EB5" w:rsidP="007B46CE">
      <w:pPr>
        <w:pStyle w:val="Author"/>
        <w:jc w:val="start"/>
      </w:pPr>
      <w:r>
        <w:rPr>
          <w:b/>
          <w:sz w:val="20"/>
        </w:rPr>
        <w:t>1st. Ms. Vijaylaxmi Inamdar</w:t>
      </w:r>
      <w:r>
        <w:rPr>
          <w:b/>
          <w:sz w:val="20"/>
        </w:rPr>
        <w:br/>
      </w:r>
      <w:r>
        <w:rPr>
          <w:i/>
          <w:sz w:val="18"/>
        </w:rPr>
        <w:t>Department of Computer Science and Engineering</w:t>
      </w:r>
      <w:r>
        <w:rPr>
          <w:i/>
          <w:sz w:val="18"/>
        </w:rPr>
        <w:br/>
        <w:t>Dayananda Sagar Academy of Technology and Management (DSATM)</w:t>
      </w:r>
      <w:r>
        <w:rPr>
          <w:i/>
          <w:sz w:val="18"/>
        </w:rPr>
        <w:br/>
      </w:r>
      <w:r>
        <w:rPr>
          <w:sz w:val="18"/>
        </w:rPr>
        <w:t>Bengaluru, Karnataka, India</w:t>
      </w:r>
      <w:r>
        <w:rPr>
          <w:sz w:val="18"/>
        </w:rPr>
        <w:br/>
        <w:t>vijaylaxmi.inamdar@dsatm.edu.in</w:t>
      </w:r>
    </w:p>
    <w:p w:rsidR="005C3F40" w:rsidRDefault="00897EB5" w:rsidP="007B46CE">
      <w:pPr>
        <w:pStyle w:val="Author"/>
        <w:jc w:val="start"/>
      </w:pPr>
      <w:r>
        <w:rPr>
          <w:b/>
          <w:sz w:val="20"/>
        </w:rPr>
        <w:t>2nd. Gaurav Jha</w:t>
      </w:r>
      <w:r>
        <w:rPr>
          <w:b/>
          <w:sz w:val="20"/>
        </w:rPr>
        <w:br/>
      </w:r>
      <w:r>
        <w:rPr>
          <w:i/>
          <w:sz w:val="18"/>
        </w:rPr>
        <w:t>Department of Computer Science and Engineering</w:t>
      </w:r>
      <w:r>
        <w:rPr>
          <w:i/>
          <w:sz w:val="18"/>
        </w:rPr>
        <w:br/>
        <w:t>Dayananda Sagar Academy of Technology and Management (DSATM)</w:t>
      </w:r>
      <w:r>
        <w:rPr>
          <w:i/>
          <w:sz w:val="18"/>
        </w:rPr>
        <w:br/>
      </w:r>
      <w:r>
        <w:rPr>
          <w:sz w:val="18"/>
        </w:rPr>
        <w:t>Bengaluru, Karnata</w:t>
      </w:r>
      <w:r w:rsidR="0005005C">
        <w:rPr>
          <w:sz w:val="18"/>
        </w:rPr>
        <w:t>ka, India</w:t>
      </w:r>
      <w:r w:rsidR="0005005C">
        <w:rPr>
          <w:sz w:val="18"/>
        </w:rPr>
        <w:br/>
        <w:t>gjha5757@gmail.com</w:t>
      </w:r>
    </w:p>
    <w:p w:rsidR="005C3F40" w:rsidRDefault="00897EB5" w:rsidP="007B46CE">
      <w:pPr>
        <w:pStyle w:val="Author"/>
        <w:jc w:val="start"/>
      </w:pPr>
      <w:r>
        <w:rPr>
          <w:b/>
          <w:sz w:val="20"/>
        </w:rPr>
        <w:t>3rd. Kalash Verma</w:t>
      </w:r>
      <w:r>
        <w:rPr>
          <w:b/>
          <w:sz w:val="20"/>
        </w:rPr>
        <w:br/>
      </w:r>
      <w:r>
        <w:rPr>
          <w:i/>
          <w:sz w:val="18"/>
        </w:rPr>
        <w:t>De</w:t>
      </w:r>
      <w:r>
        <w:rPr>
          <w:i/>
          <w:sz w:val="18"/>
        </w:rPr>
        <w:t>partment of Computer Science and Engineering</w:t>
      </w:r>
      <w:r>
        <w:rPr>
          <w:i/>
          <w:sz w:val="18"/>
        </w:rPr>
        <w:br/>
        <w:t>Dayananda Sagar Academy of Technology and Management (DSATM)</w:t>
      </w:r>
      <w:r>
        <w:rPr>
          <w:i/>
          <w:sz w:val="18"/>
        </w:rPr>
        <w:br/>
      </w:r>
      <w:r>
        <w:rPr>
          <w:sz w:val="18"/>
        </w:rPr>
        <w:t>Bengaluru, Karnataka</w:t>
      </w:r>
      <w:r w:rsidR="0005005C">
        <w:rPr>
          <w:sz w:val="18"/>
        </w:rPr>
        <w:t>, India</w:t>
      </w:r>
      <w:r w:rsidR="0005005C">
        <w:rPr>
          <w:sz w:val="18"/>
        </w:rPr>
        <w:br/>
        <w:t>kalashkumarverma72@gmail.com</w:t>
      </w:r>
    </w:p>
    <w:p w:rsidR="005C3F40" w:rsidRDefault="00897EB5" w:rsidP="007B46CE">
      <w:pPr>
        <w:pStyle w:val="Author"/>
        <w:jc w:val="start"/>
      </w:pPr>
      <w:r>
        <w:rPr>
          <w:b/>
          <w:sz w:val="20"/>
        </w:rPr>
        <w:t>4th. Komal Raj</w:t>
      </w:r>
      <w:r>
        <w:rPr>
          <w:b/>
          <w:sz w:val="20"/>
        </w:rPr>
        <w:br/>
      </w:r>
      <w:r>
        <w:rPr>
          <w:i/>
          <w:sz w:val="18"/>
        </w:rPr>
        <w:t>Department of Computer Science and Engineering</w:t>
      </w:r>
      <w:r>
        <w:rPr>
          <w:i/>
          <w:sz w:val="18"/>
        </w:rPr>
        <w:br/>
        <w:t>Dayananda Sagar Academy of Technolo</w:t>
      </w:r>
      <w:r>
        <w:rPr>
          <w:i/>
          <w:sz w:val="18"/>
        </w:rPr>
        <w:t>gy and Management (DSATM)</w:t>
      </w:r>
      <w:r>
        <w:rPr>
          <w:i/>
          <w:sz w:val="18"/>
        </w:rPr>
        <w:br/>
      </w:r>
      <w:r>
        <w:rPr>
          <w:sz w:val="18"/>
        </w:rPr>
        <w:t>Bengaluru, Karnat</w:t>
      </w:r>
      <w:r w:rsidR="0005005C">
        <w:rPr>
          <w:sz w:val="18"/>
        </w:rPr>
        <w:t>aka, India</w:t>
      </w:r>
      <w:r w:rsidR="0005005C">
        <w:rPr>
          <w:sz w:val="18"/>
        </w:rPr>
        <w:br/>
        <w:t>sjckomalraj26@gmail.com</w:t>
      </w:r>
    </w:p>
    <w:p w:rsidR="005C3F40" w:rsidRDefault="00897EB5" w:rsidP="007B46CE">
      <w:pPr>
        <w:pStyle w:val="Author"/>
        <w:jc w:val="start"/>
      </w:pPr>
      <w:r>
        <w:rPr>
          <w:b/>
          <w:sz w:val="20"/>
        </w:rPr>
        <w:t>5th. Krish Patel</w:t>
      </w:r>
      <w:r>
        <w:rPr>
          <w:b/>
          <w:sz w:val="20"/>
        </w:rPr>
        <w:br/>
      </w:r>
      <w:r>
        <w:rPr>
          <w:i/>
          <w:sz w:val="18"/>
        </w:rPr>
        <w:t>Department of Computer Science and Engineering</w:t>
      </w:r>
      <w:r>
        <w:rPr>
          <w:i/>
          <w:sz w:val="18"/>
        </w:rPr>
        <w:br/>
        <w:t>Dayananda Sagar Academy of Technology and Management (DSATM)</w:t>
      </w:r>
      <w:r>
        <w:rPr>
          <w:i/>
          <w:sz w:val="18"/>
        </w:rPr>
        <w:br/>
      </w:r>
      <w:r>
        <w:rPr>
          <w:sz w:val="18"/>
        </w:rPr>
        <w:t>Bengaluru, Karnatak</w:t>
      </w:r>
      <w:r w:rsidR="0005005C">
        <w:rPr>
          <w:sz w:val="18"/>
        </w:rPr>
        <w:t>a, India</w:t>
      </w:r>
      <w:r w:rsidR="0005005C">
        <w:rPr>
          <w:sz w:val="18"/>
        </w:rPr>
        <w:br/>
        <w:t>mr.kpatel3008@gmail.com</w:t>
      </w:r>
    </w:p>
    <w:p w:rsidR="005C3F40" w:rsidRDefault="005C3F40" w:rsidP="007B46CE">
      <w:pPr>
        <w:jc w:val="both"/>
      </w:pPr>
    </w:p>
    <w:p w:rsidR="005C3F40" w:rsidRDefault="00897EB5" w:rsidP="007B46CE">
      <w:pPr>
        <w:pStyle w:val="Abstract"/>
      </w:pPr>
      <w:r>
        <w:t>Ab</w:t>
      </w:r>
      <w:r>
        <w:t>stract—The legal domain has long been characterized by dense, technical, and voluminous documentation that presents significant challenges for both practitioners and laypersons. Manual review of legal contracts, SaaS agreements, and compliance documents is</w:t>
      </w:r>
      <w:r>
        <w:t xml:space="preserve"> time-consuming, error-prone, and financially prohibitive. This paper presents JURY-AI, an intelligent cyber-legal dashboard that leverages Retrieval-Augmented Generation (RAG) in combination with Google's Gemini Large Language Models (LLMs) and </w:t>
      </w:r>
      <w:r>
        <w:lastRenderedPageBreak/>
        <w:t>ChromaDB v</w:t>
      </w:r>
      <w:r>
        <w:t>ector storage to automate legal document ingestion, risk clause identification, quantitative safety scoring, named-entity extraction, and natural language question-answering. The system delivers a real-time split-view interface—built with Next.js 16 and Fr</w:t>
      </w:r>
      <w:r>
        <w:t>amer Motion—allowing users to upload PDF, DOCX, or TXT legal documents, receive an algorithmically computed safety index (0–100), identify High and Critical risk clauses with AI-suggested safer alternatives, and pose free-form legal queries answered from t</w:t>
      </w:r>
      <w:r>
        <w:t>he document's own context. Evaluation on representative adversarial SaaS agreements demonstrates that JURY-AI accurately identifies perpetual data licensing, unilateral price modifications, indemnification overreach, extreme liability caps, and binding-arb</w:t>
      </w:r>
      <w:r>
        <w:t>itration waivers. The platform advances accessible legal intelligence through a scalable, modular, API-driven full-stack architecture suitable for SMEs, freelancers, and non-legal professionals.</w:t>
      </w:r>
    </w:p>
    <w:p w:rsidR="005C3F40" w:rsidRDefault="00897EB5" w:rsidP="007B46CE">
      <w:pPr>
        <w:jc w:val="both"/>
      </w:pPr>
      <w:r>
        <w:rPr>
          <w:i/>
          <w:sz w:val="18"/>
        </w:rPr>
        <w:t>Keywords—Retrieval-Augmented Generation, Large Language Model</w:t>
      </w:r>
      <w:r>
        <w:rPr>
          <w:i/>
          <w:sz w:val="18"/>
        </w:rPr>
        <w:t>s, Legal AI, Document Analysis, ChromaDB, Vector Embeddings, FastAPI, Next.js, Risk Assessment, Named Entity Recognition, Natural Language Processing.</w:t>
      </w:r>
    </w:p>
    <w:p w:rsidR="005C3F40" w:rsidRDefault="005C3F40" w:rsidP="007B46CE">
      <w:pPr>
        <w:jc w:val="both"/>
      </w:pPr>
    </w:p>
    <w:p w:rsidR="005C3F40" w:rsidRDefault="00897EB5" w:rsidP="007B46CE">
      <w:pPr>
        <w:pStyle w:val="Heading1"/>
        <w:spacing w:before="6pt" w:after="3pt"/>
        <w:jc w:val="both"/>
      </w:pPr>
      <w:r>
        <w:rPr>
          <w:b/>
        </w:rPr>
        <w:t>I.</w:t>
      </w:r>
    </w:p>
    <w:p w:rsidR="005C3F40" w:rsidRDefault="00897EB5" w:rsidP="007B46CE">
      <w:pPr>
        <w:spacing w:after="4pt"/>
        <w:jc w:val="both"/>
      </w:pPr>
      <w:r>
        <w:t>The proliferation of digital agreements—from Software-as-a-Service (SaaS) contracts to employment agr</w:t>
      </w:r>
      <w:r>
        <w:t>eements and non-disclosure agreements—has created an urgent demand for intelligent systems capable of parsing, interpreting, and assessing legal risk in plain language. Traditional legal review processes are gatekept by cost and expertise: hiring legal cou</w:t>
      </w:r>
      <w:r>
        <w:t>nsel to review a single commercial contract can cost between $300 and $600 per hour [1], placing thorough review beyond the reach of most small businesses and individuals.</w:t>
      </w:r>
    </w:p>
    <w:p w:rsidR="005C3F40" w:rsidRDefault="00897EB5" w:rsidP="007B46CE">
      <w:pPr>
        <w:spacing w:after="4pt"/>
        <w:jc w:val="both"/>
      </w:pPr>
      <w:r>
        <w:t>Advances in Natural Language Processing (NLP), specifically the emergence of transfo</w:t>
      </w:r>
      <w:r>
        <w:t>rmer-based Large Language Models (LLMs) such as GPT-4 [2] and Google Gemini [3], have opened new avenues for automated legal reasoning. However, a persistent challenge with LLMs is hallucination—the generation of plausible but factually incorrect informati</w:t>
      </w:r>
      <w:r>
        <w:t>on [4]. In the legal domain, where precision is paramount, hallucination poses an unacceptable risk.</w:t>
      </w:r>
    </w:p>
    <w:p w:rsidR="005C3F40" w:rsidRDefault="00897EB5" w:rsidP="007B46CE">
      <w:pPr>
        <w:spacing w:after="4pt"/>
        <w:jc w:val="both"/>
      </w:pPr>
      <w:r>
        <w:t>Retrieval-Augmented Generation (RAG) [5] addresses this limitation by grounding LLM responses in retrieved context from a document corpus, ensuring answers</w:t>
      </w:r>
      <w:r>
        <w:t xml:space="preserve"> are anchored to the specific text under analysis rather than to parametric knowledge. This paper describes the design, implementation, and evaluation of JURY-AI, a full-stack legal intelligence platform that implements a RAG pipeline over user-uploaded le</w:t>
      </w:r>
      <w:r>
        <w:t>gal documents.</w:t>
      </w:r>
    </w:p>
    <w:p w:rsidR="005C3F40" w:rsidRDefault="00897EB5" w:rsidP="007B46CE">
      <w:pPr>
        <w:spacing w:after="4pt"/>
        <w:jc w:val="both"/>
      </w:pPr>
      <w:r>
        <w:t xml:space="preserve">The primary contributions of this paper are: (1) A complete RAG-based architecture for legal document ingestion, chunking, embedding, and context-grounded question-answering. (2) A Quantitative Legal Safety Scoring Algorithm that computes a </w:t>
      </w:r>
      <w:r>
        <w:t xml:space="preserve">risk index (0–100) by systematically penalizing detected High and Critical risk clauses. (3) AI-generated safer clause alternatives for Critical and High risk clauses. (4) Automated Named Entity Extraction identifying parties, dates, monetary amounts, and </w:t>
      </w:r>
      <w:r>
        <w:t xml:space="preserve">jurisdictions. (5) A modular, production-ready full-stack implementation using FastAPI, </w:t>
      </w:r>
      <w:r>
        <w:lastRenderedPageBreak/>
        <w:t>ChromaDB, Google Gemini (gemini-2.5-flash, gemini-embedding-2), Next.js 16, and Framer Motion. (6) A PDF export feature generating professional risk reports. The remain</w:t>
      </w:r>
      <w:r>
        <w:t>der of the paper is structured as follows: Section II reviews related work; Section III details the system architecture; Section IV describes the methodology; Section V presents the implementation; Section VI reports evaluation results; Section VII discuss</w:t>
      </w:r>
      <w:r>
        <w:t>es limitations and future work; and Section VIII concludes.</w:t>
      </w:r>
    </w:p>
    <w:p w:rsidR="005C3F40" w:rsidRDefault="00897EB5" w:rsidP="007B46CE">
      <w:pPr>
        <w:pStyle w:val="Heading1"/>
        <w:spacing w:before="6pt" w:after="3pt"/>
        <w:jc w:val="both"/>
      </w:pPr>
      <w:r>
        <w:rPr>
          <w:b/>
        </w:rPr>
        <w:t>II.</w:t>
      </w:r>
    </w:p>
    <w:p w:rsidR="005C3F40" w:rsidRDefault="00897EB5" w:rsidP="007B46CE">
      <w:pPr>
        <w:pStyle w:val="Heading2"/>
        <w:spacing w:before="4pt" w:after="2pt"/>
        <w:jc w:val="both"/>
      </w:pPr>
      <w:r>
        <w:rPr>
          <w:b/>
        </w:rPr>
        <w:t>A. Legal NLP and Document Understanding</w:t>
      </w:r>
    </w:p>
    <w:p w:rsidR="005C3F40" w:rsidRDefault="00897EB5" w:rsidP="007B46CE">
      <w:pPr>
        <w:spacing w:after="4pt"/>
        <w:jc w:val="both"/>
      </w:pPr>
      <w:r>
        <w:t>Early legal NLP research focused on structured tasks such as named entity recognition, citation parsing, and statute classification [6]. Systems such as</w:t>
      </w:r>
      <w:r>
        <w:t xml:space="preserve"> ROSS Intelligence and ContractPodAi applied machine learning to contract analytics but relied on supervised learning with hand-labeled datasets, limiting generalizability [7].</w:t>
      </w:r>
    </w:p>
    <w:p w:rsidR="005C3F40" w:rsidRDefault="00897EB5" w:rsidP="007B46CE">
      <w:pPr>
        <w:pStyle w:val="Heading2"/>
        <w:spacing w:before="4pt" w:after="2pt"/>
        <w:jc w:val="both"/>
      </w:pPr>
      <w:r>
        <w:rPr>
          <w:b/>
        </w:rPr>
        <w:t>B. Large Language Models in Legal Contexts</w:t>
      </w:r>
    </w:p>
    <w:p w:rsidR="005C3F40" w:rsidRDefault="00897EB5" w:rsidP="007B46CE">
      <w:pPr>
        <w:spacing w:after="4pt"/>
        <w:jc w:val="both"/>
      </w:pPr>
      <w:r>
        <w:t>The introduction of BERT [8] and sub</w:t>
      </w:r>
      <w:r>
        <w:t>sequent transformer architectures significantly advanced legal NLP. LegalBERT [9], trained on a large corpus of legal text, demonstrated superior performance on clause classification. More recently, GPT-4-based systems have been applied to legal summarizat</w:t>
      </w:r>
      <w:r>
        <w:t>ion [10] and case outcome prediction [11]. However, these approaches operate on the model's pre-trained parametric knowledge and are susceptible to hallucination when documents contain highly specific or proprietary clauses.</w:t>
      </w:r>
    </w:p>
    <w:p w:rsidR="005C3F40" w:rsidRDefault="00897EB5" w:rsidP="007B46CE">
      <w:pPr>
        <w:pStyle w:val="Heading2"/>
        <w:spacing w:before="4pt" w:after="2pt"/>
        <w:jc w:val="both"/>
      </w:pPr>
      <w:r>
        <w:rPr>
          <w:b/>
        </w:rPr>
        <w:t>C. Retrieval-Augmented Generati</w:t>
      </w:r>
      <w:r>
        <w:rPr>
          <w:b/>
        </w:rPr>
        <w:t>on</w:t>
      </w:r>
    </w:p>
    <w:p w:rsidR="005C3F40" w:rsidRDefault="00897EB5" w:rsidP="007B46CE">
      <w:pPr>
        <w:spacing w:after="4pt"/>
        <w:jc w:val="both"/>
      </w:pPr>
      <w:r>
        <w:t>Lewis et al. [5] introduced RAG as a framework combining non-parametric retrieval (dense passage retrieval) with a parametric generative model. Subsequent work demonstrated RAG's superiority over vanilla LLMs in knowledge-intensive NLP tasks [12]. In th</w:t>
      </w:r>
      <w:r>
        <w:t>e legal domain, RAG has been applied to statute retrieval [13] and case law question-answering [14], but its application to real-time contract risk analysis with quantitative scoring and named entity extraction remains underexplored.</w:t>
      </w:r>
    </w:p>
    <w:p w:rsidR="005C3F40" w:rsidRDefault="00897EB5" w:rsidP="007B46CE">
      <w:pPr>
        <w:pStyle w:val="Heading2"/>
        <w:spacing w:before="4pt" w:after="2pt"/>
        <w:jc w:val="both"/>
      </w:pPr>
      <w:r>
        <w:rPr>
          <w:b/>
        </w:rPr>
        <w:t>D. Vector Databases fo</w:t>
      </w:r>
      <w:r>
        <w:rPr>
          <w:b/>
        </w:rPr>
        <w:t>r Semantic Search</w:t>
      </w:r>
    </w:p>
    <w:p w:rsidR="005C3F40" w:rsidRDefault="00897EB5" w:rsidP="007B46CE">
      <w:pPr>
        <w:spacing w:after="4pt"/>
        <w:jc w:val="both"/>
      </w:pPr>
      <w:r>
        <w:t>ChromaDB [15], Pinecone [16], and Weaviate [17] represent the current generation of purpose-built vector stores enabling efficient approximate nearest-neighbor (ANN) search over high-dimensional embedding spaces. These systems are critica</w:t>
      </w:r>
      <w:r>
        <w:t>l to production-grade RAG deployments, enabling sub-second retrieval over thousands of document chunks.</w:t>
      </w:r>
    </w:p>
    <w:p w:rsidR="005C3F40" w:rsidRDefault="00897EB5" w:rsidP="007B46CE">
      <w:pPr>
        <w:pStyle w:val="Heading2"/>
        <w:spacing w:before="4pt" w:after="2pt"/>
        <w:jc w:val="both"/>
      </w:pPr>
      <w:r>
        <w:rPr>
          <w:b/>
        </w:rPr>
        <w:t>E. Positioning of JURY-AI</w:t>
      </w:r>
    </w:p>
    <w:p w:rsidR="005C3F40" w:rsidRDefault="00897EB5" w:rsidP="007B46CE">
      <w:pPr>
        <w:spacing w:after="4pt"/>
        <w:jc w:val="both"/>
      </w:pPr>
      <w:r>
        <w:t>Unlike prior systems, JURY-AI uniquely combines: (a) real-time multi-format document ingestion (PDF, DOCX, TXT); (b) a RAG pip</w:t>
      </w:r>
      <w:r>
        <w:t>eline grounded entirely in the uploaded document; (c) an explainable clause-level risk scoring mechanism with AI-suggested safer alternatives; (d) automated named entity extraction; (e) PDF report generation; and (f) a consumer-grade animated split-view in</w:t>
      </w:r>
      <w:r>
        <w:t>terface. This positions JURY-AI at the intersection of legal NLP, applied RAG, and accessible software design.</w:t>
      </w:r>
    </w:p>
    <w:p w:rsidR="005C3F40" w:rsidRDefault="00897EB5" w:rsidP="007B46CE">
      <w:pPr>
        <w:pStyle w:val="Heading1"/>
        <w:spacing w:before="6pt" w:after="3pt"/>
        <w:jc w:val="both"/>
      </w:pPr>
      <w:r>
        <w:rPr>
          <w:b/>
        </w:rPr>
        <w:lastRenderedPageBreak/>
        <w:t>III.</w:t>
      </w:r>
    </w:p>
    <w:p w:rsidR="005C3F40" w:rsidRDefault="00897EB5" w:rsidP="007B46CE">
      <w:pPr>
        <w:pStyle w:val="Heading2"/>
        <w:spacing w:before="4pt" w:after="2pt"/>
        <w:jc w:val="both"/>
      </w:pPr>
      <w:r>
        <w:rPr>
          <w:b/>
        </w:rPr>
        <w:t>A. High-Level Overview</w:t>
      </w:r>
    </w:p>
    <w:p w:rsidR="005C3F40" w:rsidRDefault="00897EB5" w:rsidP="007B46CE">
      <w:pPr>
        <w:spacing w:after="4pt"/>
        <w:jc w:val="both"/>
      </w:pPr>
      <w:r>
        <w:t xml:space="preserve">JURY-AI follows a three-tier architecture. The CLIENT LAYER consists of a Next.js 16 React 19 progressive web </w:t>
      </w:r>
      <w:r>
        <w:t>application featuring a full-screen split-view dashboard and animated components via Framer Motion. The APPLICATION LAYER is a FastAPI Python backend exposing REST endpoints for upload, summarization, entity extraction, risk scoring, and conversational Q&amp;A</w:t>
      </w:r>
      <w:r>
        <w:t>. The DATA LAYER comprises ChromaDB (persistent local vector store) and Google Gemini API (embedding and generation).</w:t>
      </w:r>
    </w:p>
    <w:p w:rsidR="005C3F40" w:rsidRDefault="00897EB5" w:rsidP="007B46CE">
      <w:pPr>
        <w:pStyle w:val="Heading2"/>
        <w:spacing w:before="4pt" w:after="2pt"/>
        <w:jc w:val="both"/>
      </w:pPr>
      <w:r>
        <w:rPr>
          <w:b/>
        </w:rPr>
        <w:t>B. Frontend Layer</w:t>
      </w:r>
    </w:p>
    <w:p w:rsidR="005C3F40" w:rsidRDefault="00897EB5" w:rsidP="007B46CE">
      <w:pPr>
        <w:spacing w:after="4pt"/>
        <w:jc w:val="both"/>
      </w:pPr>
      <w:r>
        <w:t>The frontend is implemented in Next.js 16 using the App Router paradigm with React 19 Server/Client Components. The UI r</w:t>
      </w:r>
      <w:r>
        <w:t>enders a full-screen split-view dashboard: (1) Left Panel — Document Context Viewer that accepts drag-and-drop or file dialog upload of .pdf, .docx, and .txt files. Upon upload, an animated 'Encoding Vectors...' loading state is displayed during backend pr</w:t>
      </w:r>
      <w:r>
        <w:t>ocessing. (2) Right Panel — AI Analysis Platform composed of: a Quantitative Safety Gauge (animated SVG radial gauge displaying the risk score 0–100, color-coded green ≥80, amber 50–79, red &lt;50), a Named Entities grid, and an Operations Feed displaying ris</w:t>
      </w:r>
      <w:r>
        <w:t>k clause cards and conversation messages. The Document History drawer (Feature 8) persists all past analyses in localStorage. The Full Report page (/report/[doc_id]) provides a dedicated view with clause table, bar chart, and Q&amp;A log. PDF Export (Feature 7</w:t>
      </w:r>
      <w:r>
        <w:t>) generates a downloadable professional report via jsPDF.</w:t>
      </w:r>
    </w:p>
    <w:p w:rsidR="005C3F40" w:rsidRDefault="00897EB5" w:rsidP="007B46CE">
      <w:pPr>
        <w:pStyle w:val="Heading2"/>
        <w:spacing w:before="4pt" w:after="2pt"/>
        <w:jc w:val="both"/>
      </w:pPr>
      <w:r>
        <w:rPr>
          <w:b/>
        </w:rPr>
        <w:t>C. Backend Layer</w:t>
      </w:r>
    </w:p>
    <w:p w:rsidR="005C3F40" w:rsidRDefault="00897EB5" w:rsidP="007B46CE">
      <w:pPr>
        <w:spacing w:after="4pt"/>
        <w:jc w:val="both"/>
      </w:pPr>
      <w:r>
        <w:t xml:space="preserve">The backend is a FastAPI application exposing five REST endpoints: /api/upload (POST) parses file, chunks text, generates embeddings, and inserts into ChromaDB; /api/summary (POST) </w:t>
      </w:r>
      <w:r>
        <w:t>generates a plain-English 2–3 sentence document summary; /api/entities (POST) extracts named entities (parties, dates, amounts, jurisdictions) as structured JSON; /api/query (POST) performs RAG retrieval and grounded Q&amp;A; and /api/score (POST) extracts ris</w:t>
      </w:r>
      <w:r>
        <w:t>k clauses with safer alternatives and computes the safety score. A model fallback mechanism automatically switches from gemini-2.5-flash to gemini-2.0-flash during Google API demand spikes (HTTP 503), ensuring resilience.</w:t>
      </w:r>
    </w:p>
    <w:p w:rsidR="005C3F40" w:rsidRDefault="00897EB5" w:rsidP="007B46CE">
      <w:pPr>
        <w:pStyle w:val="Heading2"/>
        <w:spacing w:before="4pt" w:after="2pt"/>
        <w:jc w:val="both"/>
      </w:pPr>
      <w:r>
        <w:rPr>
          <w:b/>
        </w:rPr>
        <w:t>D. Data Layer</w:t>
      </w:r>
    </w:p>
    <w:p w:rsidR="005C3F40" w:rsidRDefault="00897EB5" w:rsidP="007B46CE">
      <w:pPr>
        <w:spacing w:after="4pt"/>
        <w:jc w:val="both"/>
      </w:pPr>
      <w:r>
        <w:t>ChromaDB operates in</w:t>
      </w:r>
      <w:r>
        <w:t xml:space="preserve"> PersistentClient mode, storing vector embeddings and document chunks to disk at backend/data/chroma/. The collection jury_ai_docs_v2 is created-or-retrieved on startup, ensuring stateful persistence across server restarts. Each document chunk is stored wi</w:t>
      </w:r>
      <w:r>
        <w:t>th metadata {doc_id, chunk_index}, enabling per-document retrieval. The embedding model gemini-embedding-2 produces 3072-dimensional dense vectors.</w:t>
      </w:r>
    </w:p>
    <w:p w:rsidR="005C3F40" w:rsidRDefault="00897EB5" w:rsidP="007B46CE">
      <w:pPr>
        <w:pStyle w:val="Heading1"/>
        <w:spacing w:before="6pt" w:after="3pt"/>
        <w:jc w:val="both"/>
      </w:pPr>
      <w:r>
        <w:rPr>
          <w:b/>
        </w:rPr>
        <w:t>IV.</w:t>
      </w:r>
    </w:p>
    <w:p w:rsidR="005C3F40" w:rsidRDefault="00897EB5" w:rsidP="007B46CE">
      <w:pPr>
        <w:pStyle w:val="Heading2"/>
        <w:spacing w:before="4pt" w:after="2pt"/>
        <w:jc w:val="both"/>
      </w:pPr>
      <w:r>
        <w:rPr>
          <w:b/>
        </w:rPr>
        <w:t>A. Document Ingestion and Parsing</w:t>
      </w:r>
    </w:p>
    <w:p w:rsidR="005C3F40" w:rsidRDefault="00897EB5" w:rsidP="007B46CE">
      <w:pPr>
        <w:spacing w:after="4pt"/>
        <w:jc w:val="both"/>
      </w:pPr>
      <w:r>
        <w:t>Upon upload, the FileParser module dispatches on file extension: PDF (</w:t>
      </w:r>
      <w:r>
        <w:t xml:space="preserve">.pdf) is parsed using PyMuPDF (fitz), extracting text page-by-page and joining with newlines; DOCX (.docx) is parsed using python-docx, joining all </w:t>
      </w:r>
      <w:r>
        <w:lastRenderedPageBreak/>
        <w:t>paragraph texts; TXT (.txt) is processed via direct UTF-8 decoded bytes. All parsed text is returned as a si</w:t>
      </w:r>
      <w:r>
        <w:t>ngle UTF-8 string for downstream processing.</w:t>
      </w:r>
    </w:p>
    <w:p w:rsidR="005C3F40" w:rsidRDefault="00897EB5" w:rsidP="007B46CE">
      <w:pPr>
        <w:pStyle w:val="Heading2"/>
        <w:spacing w:before="4pt" w:after="2pt"/>
        <w:jc w:val="both"/>
      </w:pPr>
      <w:r>
        <w:rPr>
          <w:b/>
        </w:rPr>
        <w:t>B. Text Chunking</w:t>
      </w:r>
    </w:p>
    <w:p w:rsidR="005C3F40" w:rsidRDefault="00897EB5" w:rsidP="007B46CE">
      <w:pPr>
        <w:spacing w:after="4pt"/>
        <w:jc w:val="both"/>
      </w:pPr>
      <w:r>
        <w:t>The parsed document text is split into fixed-size chunks of 1,000 characters with no overlap using a simple sliding-window approach. This ensures each chunk fits comfortably within embedding mod</w:t>
      </w:r>
      <w:r>
        <w:t>el token limits while maintaining semantic coherence within a legal clause. Each chunk is assigned a unique identifier {doc_id}_chunk_{idx}. A 1,000-character window corresponds approximately to 150–200 tokens, well within the context limit of the gemini-e</w:t>
      </w:r>
      <w:r>
        <w:t>mbedding-2 model. Fixed-size chunking was preferred over sentence-level chunking to avoid splitting mid-clause in dense legal text.</w:t>
      </w:r>
    </w:p>
    <w:p w:rsidR="005C3F40" w:rsidRDefault="00897EB5" w:rsidP="007B46CE">
      <w:pPr>
        <w:pStyle w:val="Heading2"/>
        <w:spacing w:before="4pt" w:after="2pt"/>
        <w:jc w:val="both"/>
      </w:pPr>
      <w:r>
        <w:rPr>
          <w:b/>
        </w:rPr>
        <w:t>C. Vector Embedding</w:t>
      </w:r>
    </w:p>
    <w:p w:rsidR="005C3F40" w:rsidRDefault="00897EB5" w:rsidP="007B46CE">
      <w:pPr>
        <w:spacing w:after="4pt"/>
        <w:jc w:val="both"/>
      </w:pPr>
      <w:r>
        <w:t>Chunks are encoded using Google's gemini-embedding-2 model via the Gemini API, producing 3,072-dimension</w:t>
      </w:r>
      <w:r>
        <w:t>al dense vector embeddings. These embeddings capture the semantic meaning of each chunk in a continuous vector space, enabling cosine-similarity-based retrieval of contextually relevant passages. The embedding fallback dimension is set to 3,072 to match th</w:t>
      </w:r>
      <w:r>
        <w:t>e model output, and a fresh ChromaDB collection (jury_ai_docs_v2) was created to support this upgraded dimensionality.</w:t>
      </w:r>
    </w:p>
    <w:p w:rsidR="005C3F40" w:rsidRDefault="00897EB5" w:rsidP="007B46CE">
      <w:pPr>
        <w:pStyle w:val="Heading2"/>
        <w:spacing w:before="4pt" w:after="2pt"/>
        <w:jc w:val="both"/>
      </w:pPr>
      <w:r>
        <w:rPr>
          <w:b/>
        </w:rPr>
        <w:t>D. Retrieval-Augmented Query Pipeline</w:t>
      </w:r>
    </w:p>
    <w:p w:rsidR="005C3F40" w:rsidRDefault="00897EB5" w:rsidP="007B46CE">
      <w:pPr>
        <w:spacing w:after="4pt"/>
        <w:jc w:val="both"/>
      </w:pPr>
      <w:r>
        <w:t xml:space="preserve">For user queries, the following sequential steps are executed: (1) Query Embedding — the user's </w:t>
      </w:r>
      <w:r>
        <w:t>question is embedded using the same gemini-embedding-2 model. (2) ANN Retrieval — ChromaDB performs approximate nearest-neighbor search returning the top-3 most semantically similar chunks. (3) Context Assembly — retrieved chunks are joined with --- separa</w:t>
      </w:r>
      <w:r>
        <w:t>tors. (4) Grounded Prompt Construction — a zero-shot prompt instructs the LLM to answer exclusively from the provided context. (5) LLM Generation — the prompt is sent to gemini-2.5-flash (with automatic fallback to gemini-2.0-flash) for generation. (6) Res</w:t>
      </w:r>
      <w:r>
        <w:t>ponse Return — the generated answer is returned to the frontend.</w:t>
      </w:r>
    </w:p>
    <w:p w:rsidR="005C3F40" w:rsidRDefault="00897EB5" w:rsidP="007B46CE">
      <w:pPr>
        <w:pStyle w:val="Heading2"/>
        <w:spacing w:before="4pt" w:after="2pt"/>
        <w:jc w:val="both"/>
      </w:pPr>
      <w:r>
        <w:rPr>
          <w:b/>
        </w:rPr>
        <w:t>E. Quantitative Legal Risk Scoring</w:t>
      </w:r>
    </w:p>
    <w:p w:rsidR="005C3F40" w:rsidRDefault="00897EB5" w:rsidP="007B46CE">
      <w:pPr>
        <w:spacing w:after="4pt"/>
        <w:jc w:val="both"/>
      </w:pPr>
      <w:r>
        <w:t xml:space="preserve">The scoring pipeline implements a legal risk algorithm with the following logic: Step 1 — all chunks for a given doc_id are fetched from ChromaDB. Step 2 — </w:t>
      </w:r>
      <w:r>
        <w:t xml:space="preserve">the full document text (capped at 30,000 characters) is submitted with a structured zero-shot prompt instructing Gemini to identify all clauses, classify each as Critical/High/Medium/Low risk, provide a justification, and for Critical/High clauses provide </w:t>
      </w:r>
      <w:r>
        <w:t xml:space="preserve">a safer alternative clause wording. The model returns a pure JSON array. Step 3 — penalty-based score computation: starting from 100, Critical clauses deduct 25 points each, High clauses deduct 15 points, Medium clauses deduct 5 points, Low clauses deduct </w:t>
      </w:r>
      <w:r>
        <w:t>0 points, floored at 0. Step 4 — only Critical and High clauses are surfaced to the UI. Step 5 — a regex-based JSON sanitization removes markdown fencing from model outputs.</w:t>
      </w:r>
    </w:p>
    <w:p w:rsidR="005C3F40" w:rsidRDefault="00897EB5" w:rsidP="007B46CE">
      <w:pPr>
        <w:pStyle w:val="Heading2"/>
        <w:spacing w:before="4pt" w:after="2pt"/>
        <w:jc w:val="both"/>
      </w:pPr>
      <w:r>
        <w:rPr>
          <w:b/>
        </w:rPr>
        <w:t>F. Named Entity Extraction</w:t>
      </w:r>
    </w:p>
    <w:p w:rsidR="005C3F40" w:rsidRDefault="00897EB5" w:rsidP="007B46CE">
      <w:pPr>
        <w:spacing w:after="4pt"/>
        <w:jc w:val="both"/>
      </w:pPr>
      <w:r>
        <w:t>The entity extraction pipeline submits the full documen</w:t>
      </w:r>
      <w:r>
        <w:t xml:space="preserve">t text (capped at 8,000 characters) with a structured zero-shot </w:t>
      </w:r>
      <w:r>
        <w:lastRenderedPageBreak/>
        <w:t>prompt instructing Gemini to extract four entity categories: Parties (company/person names), Dates (time periods, durations), Amounts (monetary figures, fees), and Jurisdictions (governing law</w:t>
      </w:r>
      <w:r>
        <w:t>, courts, arbitration locations). The model returns a pure JSON object, which is parsed and rendered as a structured grid in the UI.</w:t>
      </w:r>
    </w:p>
    <w:p w:rsidR="005C3F40" w:rsidRDefault="00897EB5" w:rsidP="007B46CE">
      <w:pPr>
        <w:pStyle w:val="Heading1"/>
        <w:spacing w:before="6pt" w:after="3pt"/>
        <w:jc w:val="both"/>
      </w:pPr>
      <w:r>
        <w:rPr>
          <w:b/>
        </w:rPr>
        <w:t>V.</w:t>
      </w:r>
    </w:p>
    <w:p w:rsidR="005C3F40" w:rsidRDefault="00897EB5" w:rsidP="007B46CE">
      <w:pPr>
        <w:pStyle w:val="Heading2"/>
        <w:spacing w:before="4pt" w:after="2pt"/>
        <w:jc w:val="both"/>
      </w:pPr>
      <w:r>
        <w:rPr>
          <w:b/>
        </w:rPr>
        <w:t>A. Technology Stack</w:t>
      </w:r>
    </w:p>
    <w:p w:rsidR="005C3F40" w:rsidRDefault="00897EB5" w:rsidP="007B46CE">
      <w:pPr>
        <w:spacing w:after="4pt"/>
        <w:jc w:val="both"/>
      </w:pPr>
      <w:r>
        <w:t>The system is built on the following technology stack: Frontend — Next.js 16.2.4 (App Router), React</w:t>
      </w:r>
      <w:r>
        <w:t xml:space="preserve"> 19.2.4, Framer Motion 12.38.0 (micro-animations), Lucide React 1.8.0 (icons), TailwindCSS 4.2.2 (utility CSS), jsPDF + jspdf-autotable (PDF export), react-hot-toast (notifications). Backend — FastAPI (Python), Uvicorn (ASGI), ChromaDB (persistent vector d</w:t>
      </w:r>
      <w:r>
        <w:t>atabase), Google Generative AI SDK (google-genai), PyMuPDF/fitz (PDF parsing), python-docx (DOCX parsing), python-dotenv (configuration), asyncio (non-blocking I/O). AI Models — gemini-embedding-2 (3,072-dim embeddings), gemini-2.5-flash (primary generatio</w:t>
      </w:r>
      <w:r>
        <w:t>n, with gemini-2.0-flash fallback).</w:t>
      </w:r>
    </w:p>
    <w:p w:rsidR="005C3F40" w:rsidRDefault="00897EB5" w:rsidP="007B46CE">
      <w:pPr>
        <w:pStyle w:val="Heading2"/>
        <w:spacing w:before="4pt" w:after="2pt"/>
        <w:jc w:val="both"/>
      </w:pPr>
      <w:r>
        <w:rPr>
          <w:b/>
        </w:rPr>
        <w:t>B. Project Structure</w:t>
      </w:r>
    </w:p>
    <w:p w:rsidR="005C3F40" w:rsidRDefault="00897EB5" w:rsidP="007B46CE">
      <w:pPr>
        <w:spacing w:after="4pt"/>
        <w:jc w:val="both"/>
      </w:pPr>
      <w:r>
        <w:t>The project is organized as: JURY-AI/ containing .env (GOOGLE_API_KEY), backend/ with main.py (FastAPI app + routes), services/rag_service.py (RAG pipeline: embed, retrieve, generate, score, entities</w:t>
      </w:r>
      <w:r>
        <w:t>), services/file_parser.py (multi-format document parser), database/chroma_client.py (ChromaDB Singleton PersistentClient), and data/chroma/ (persistent vector store). The frontend/ contains src/app/page.js (main dashboard component with 11 features), src/</w:t>
      </w:r>
      <w:r>
        <w:t>app/report/[doc_id]/page.js (full report page), src/app/globals.css (design system tokens), and next.config.mjs.</w:t>
      </w:r>
    </w:p>
    <w:p w:rsidR="005C3F40" w:rsidRDefault="00897EB5" w:rsidP="007B46CE">
      <w:pPr>
        <w:pStyle w:val="Heading2"/>
        <w:spacing w:before="4pt" w:after="2pt"/>
        <w:jc w:val="both"/>
      </w:pPr>
      <w:r>
        <w:rPr>
          <w:b/>
        </w:rPr>
        <w:t>C. ChromaDB Singleton Pattern</w:t>
      </w:r>
    </w:p>
    <w:p w:rsidR="005C3F40" w:rsidRDefault="00897EB5" w:rsidP="007B46CE">
      <w:pPr>
        <w:spacing w:after="4pt"/>
        <w:jc w:val="both"/>
      </w:pPr>
      <w:r>
        <w:t xml:space="preserve">The ChromaClient class implements a Python Singleton using __new__ override, ensuring only one PersistentClient </w:t>
      </w:r>
      <w:r>
        <w:t>instance is created per server process regardless of how many times ChromaClient() is instantiated. This prevents database lock conflicts under concurrent requests. The client persists data at ./backend/data/chroma/ on disk, enabling analysis history to su</w:t>
      </w:r>
      <w:r>
        <w:t>rvive server restarts.</w:t>
      </w:r>
    </w:p>
    <w:p w:rsidR="005C3F40" w:rsidRDefault="00897EB5" w:rsidP="007B46CE">
      <w:pPr>
        <w:pStyle w:val="Heading2"/>
        <w:spacing w:before="4pt" w:after="2pt"/>
        <w:jc w:val="both"/>
      </w:pPr>
      <w:r>
        <w:rPr>
          <w:b/>
        </w:rPr>
        <w:t>D. Resilient API Design</w:t>
      </w:r>
    </w:p>
    <w:p w:rsidR="005C3F40" w:rsidRDefault="00897EB5" w:rsidP="007B46CE">
      <w:pPr>
        <w:spacing w:after="4pt"/>
        <w:jc w:val="both"/>
      </w:pPr>
      <w:r>
        <w:t>A three-level resilience strategy is implemented: (1) Model Fallback — the _sync_generate method first attempts gemini-2.5-flash and automatically falls back to gemini-2.0-flash on any exception (including HTT</w:t>
      </w:r>
      <w:r>
        <w:t xml:space="preserve">P 503 high-demand errors). (2) JSON Sanitization — regex-based cleanup removes markdown fencing (```json) from model outputs before JSON parsing. (3) Graceful Degradation — all API endpoints catch exceptions and return structured HTTP error responses with </w:t>
      </w:r>
      <w:r>
        <w:t>descriptive messages rather than unhandled stack traces.</w:t>
      </w:r>
    </w:p>
    <w:p w:rsidR="005C3F40" w:rsidRDefault="00897EB5" w:rsidP="007B46CE">
      <w:pPr>
        <w:pStyle w:val="Heading2"/>
        <w:spacing w:before="4pt" w:after="2pt"/>
        <w:jc w:val="both"/>
      </w:pPr>
      <w:r>
        <w:rPr>
          <w:b/>
        </w:rPr>
        <w:t>E. Frontend Features (1–11)</w:t>
      </w:r>
    </w:p>
    <w:p w:rsidR="005C3F40" w:rsidRDefault="00897EB5" w:rsidP="007B46CE">
      <w:pPr>
        <w:spacing w:after="4pt"/>
        <w:jc w:val="both"/>
      </w:pPr>
      <w:r>
        <w:t>The JURY-AI dashboard implements 11 features: (1) Multi-format document upload with animated drag-and-drop zone; (2) Automatic plain-English document summary; (3) Quantita</w:t>
      </w:r>
      <w:r>
        <w:t xml:space="preserve">tive Safety Score (0–100) with </w:t>
      </w:r>
      <w:r>
        <w:lastRenderedPageBreak/>
        <w:t>animated SVG radial gauge; (4) Risk clause detection cards with severity badges; (5) Color-coded risk level distribution (Critical/High/Medium/Low); (6) Grounded conversational Q&amp;A with citation; (7) PDF report export with sc</w:t>
      </w:r>
      <w:r>
        <w:t>ore bar, entity grid, clause table, and safer alternatives; (8) Document history drawer persisted in localStorage; (9) AI-suggested safer alternative clause wording for Critical and High risk items; (10) Named entity extraction grid (parties, dates, amount</w:t>
      </w:r>
      <w:r>
        <w:t>s, jurisdictions); (11) Full-screen report page at /report/[doc_id] with bar chart and complete clause table.</w:t>
      </w:r>
    </w:p>
    <w:p w:rsidR="005C3F40" w:rsidRDefault="00897EB5" w:rsidP="007B46CE">
      <w:pPr>
        <w:pStyle w:val="Heading1"/>
        <w:spacing w:before="6pt" w:after="3pt"/>
        <w:jc w:val="both"/>
      </w:pPr>
      <w:r>
        <w:rPr>
          <w:b/>
        </w:rPr>
        <w:t>VI.</w:t>
      </w:r>
    </w:p>
    <w:p w:rsidR="005C3F40" w:rsidRDefault="00897EB5" w:rsidP="007B46CE">
      <w:pPr>
        <w:pStyle w:val="Heading2"/>
        <w:spacing w:before="4pt" w:after="2pt"/>
        <w:jc w:val="both"/>
      </w:pPr>
      <w:r>
        <w:rPr>
          <w:b/>
        </w:rPr>
        <w:t>A. Evaluation Setup</w:t>
      </w:r>
    </w:p>
    <w:p w:rsidR="005C3F40" w:rsidRDefault="00897EB5" w:rsidP="007B46CE">
      <w:pPr>
        <w:spacing w:after="4pt"/>
        <w:jc w:val="both"/>
      </w:pPr>
      <w:r>
        <w:t>A representative SaaS Subscription Agreement (12,163 bytes, ~25 sections) was used as the primary test document. This cont</w:t>
      </w:r>
      <w:r>
        <w:t>ract was crafted to contain multiple adversarial clauses: Perpetual data usage rights with commercialization (§2.2), Unilateral fee increase of up to 50% without notice (§3.2), $1 total liability cap (§6.1), GDPR rights waiver (§4.4), 5-year non-compete cl</w:t>
      </w:r>
      <w:r>
        <w:t>ause (§10.2), 24-month lock-in with 40% early termination penalty (§8.2), and Broad indemnification covering Provider's own negligence (§7.1).</w:t>
      </w:r>
    </w:p>
    <w:p w:rsidR="005C3F40" w:rsidRDefault="00897EB5" w:rsidP="007B46CE">
      <w:pPr>
        <w:pStyle w:val="Heading2"/>
        <w:spacing w:before="4pt" w:after="2pt"/>
        <w:jc w:val="both"/>
      </w:pPr>
      <w:r>
        <w:rPr>
          <w:b/>
        </w:rPr>
        <w:t>B. Risk Detection Results</w:t>
      </w:r>
    </w:p>
    <w:p w:rsidR="005C3F40" w:rsidRDefault="00897EB5" w:rsidP="007B46CE">
      <w:pPr>
        <w:spacing w:after="4pt"/>
        <w:jc w:val="both"/>
      </w:pPr>
      <w:r>
        <w:t>Upon uploading and scoring the test document, JURY-AI returned the following risk resul</w:t>
      </w:r>
      <w:r>
        <w:t>ts: Perpetual Data License (Critical, −25 pts) — grants irrevocable commercial rights over all customer data for any purpose including AI training; Unilateral Fee Increase (Critical, −25 pts) — 50% annual fee increase without notice creates severe financia</w:t>
      </w:r>
      <w:r>
        <w:t xml:space="preserve">l instability; Nominal Liability Cap (Critical, −25 pts) — $1 total liability limit eliminates meaningful recourse; GDPR Rights Waiver (Critical, −25 pts) — attempts to waive statutory data protection rights; Non-Compete Overreach (High, −15 pts) — 5-year </w:t>
      </w:r>
      <w:r>
        <w:t>non-compete with global scope is disproportionate; Lock-in Penalty (High, −15 pts) — 40% termination penalty on 24-month lock-in constitutes punitive terms; Broad Indemnification (High, −15 pts) — indemnification extends to Provider's own negligence. Compu</w:t>
      </w:r>
      <w:r>
        <w:t>ted Safety Score: 100 − (4×25) − (3×15) = 100 − 100 − 45 = −5 → floored to 0/100.</w:t>
      </w:r>
    </w:p>
    <w:p w:rsidR="005C3F40" w:rsidRDefault="00897EB5" w:rsidP="007B46CE">
      <w:pPr>
        <w:pStyle w:val="Heading2"/>
        <w:spacing w:before="4pt" w:after="2pt"/>
        <w:jc w:val="both"/>
      </w:pPr>
      <w:r>
        <w:rPr>
          <w:b/>
        </w:rPr>
        <w:t>C. Named Entity Extraction Results</w:t>
      </w:r>
    </w:p>
    <w:p w:rsidR="005C3F40" w:rsidRDefault="00897EB5" w:rsidP="007B46CE">
      <w:pPr>
        <w:spacing w:after="4pt"/>
        <w:jc w:val="both"/>
      </w:pPr>
      <w:r>
        <w:t>The entity extraction pipeline correctly identified: Parties — OmniTech Solutions LLC, Meridian Consulting Group; Dates — January 15 2025 (</w:t>
      </w:r>
      <w:r>
        <w:t>Agreement Date), February 1 2025 (Effective Date), 24-month lock-in period, 5-year non-compete; Amounts — $2,400/month subscription fee, $1 liability cap, 40% early termination penalty, 50% annual fee increase cap; Jurisdictions — Delaware (governing law),</w:t>
      </w:r>
      <w:r>
        <w:t xml:space="preserve"> AAA Arbitration (New York), Provider-chosen arbitration forum.</w:t>
      </w:r>
    </w:p>
    <w:p w:rsidR="005C3F40" w:rsidRDefault="00897EB5" w:rsidP="007B46CE">
      <w:pPr>
        <w:pStyle w:val="Heading2"/>
        <w:spacing w:before="4pt" w:after="2pt"/>
        <w:jc w:val="both"/>
      </w:pPr>
      <w:r>
        <w:rPr>
          <w:b/>
        </w:rPr>
        <w:t>D. Question-Answering Evaluation</w:t>
      </w:r>
    </w:p>
    <w:p w:rsidR="005C3F40" w:rsidRDefault="00897EB5" w:rsidP="007B46CE">
      <w:pPr>
        <w:spacing w:after="4pt"/>
        <w:jc w:val="both"/>
      </w:pPr>
      <w:r>
        <w:t>Three representative legal queries were posed to the RAG pipeline: (1) 'What happens to my data after I cancel?' — Correctly cited Section 2.2: perpetual, irre</w:t>
      </w:r>
      <w:r>
        <w:t xml:space="preserve">vocable license remains active after termination. (2) 'Can the provider increase my subscription price?' — Correctly identified Section 3.2 and warned of up to 50% annual increase without notice. (3) 'What is the maximum I can claim if the </w:t>
      </w:r>
      <w:r>
        <w:lastRenderedPageBreak/>
        <w:t xml:space="preserve">service fails?' </w:t>
      </w:r>
      <w:r>
        <w:t>— Correctly identified the $1 liability cap in Section 6.1 as effectively eliminating all recourse. All three queries were answered accurately with direct reference to relevant clauses, demonstrating effective grounding and zero hallucination on this evalu</w:t>
      </w:r>
      <w:r>
        <w:t>ation set.</w:t>
      </w:r>
    </w:p>
    <w:p w:rsidR="005C3F40" w:rsidRDefault="00897EB5" w:rsidP="007B46CE">
      <w:pPr>
        <w:pStyle w:val="Heading2"/>
        <w:spacing w:before="4pt" w:after="2pt"/>
        <w:jc w:val="both"/>
      </w:pPr>
      <w:r>
        <w:rPr>
          <w:b/>
        </w:rPr>
        <w:t>E. Performance Characteristics</w:t>
      </w:r>
    </w:p>
    <w:p w:rsidR="005C3F40" w:rsidRDefault="00897EB5" w:rsidP="007B46CE">
      <w:pPr>
        <w:spacing w:after="4pt"/>
        <w:jc w:val="both"/>
      </w:pPr>
      <w:r>
        <w:t>Observed performance metrics: Document upload and embedding latency ≈ 3.2 seconds (12-chunk document, 12 embedding calls at 3,072 dimensions); Risk scoring latency ≈ 4.5 seconds (retrieval + LLM generation for full</w:t>
      </w:r>
      <w:r>
        <w:t xml:space="preserve"> document); Summary latency ≈ 2.1 seconds; Entity extraction latency ≈ 2.3 seconds; Query response latency ≈ 1.8 seconds (embedding + retrieval + generation); PDF export latency ≈ 0.3 seconds (client-side jsPDF generation); Embedding dimensions: 3,072; LLM</w:t>
      </w:r>
      <w:r>
        <w:t xml:space="preserve"> model: gemini-2.5-flash (fallback: gemini-2.0-flash).</w:t>
      </w:r>
    </w:p>
    <w:p w:rsidR="005C3F40" w:rsidRDefault="00897EB5" w:rsidP="007B46CE">
      <w:pPr>
        <w:pStyle w:val="Heading1"/>
        <w:spacing w:before="6pt" w:after="3pt"/>
        <w:jc w:val="both"/>
      </w:pPr>
      <w:r>
        <w:rPr>
          <w:b/>
        </w:rPr>
        <w:t>VII.</w:t>
      </w:r>
    </w:p>
    <w:p w:rsidR="005C3F40" w:rsidRDefault="00897EB5" w:rsidP="007B46CE">
      <w:pPr>
        <w:pStyle w:val="Heading2"/>
        <w:spacing w:before="4pt" w:after="2pt"/>
        <w:jc w:val="both"/>
      </w:pPr>
      <w:r>
        <w:rPr>
          <w:b/>
        </w:rPr>
        <w:t>A. Strengths</w:t>
      </w:r>
    </w:p>
    <w:p w:rsidR="005C3F40" w:rsidRDefault="00897EB5" w:rsidP="007B46CE">
      <w:pPr>
        <w:spacing w:after="4pt"/>
        <w:jc w:val="both"/>
      </w:pPr>
      <w:r>
        <w:t>Grounded Accuracy: By restricting the LLM's generative scope to the retrieved document context, JURY-AI eliminates the risk of the model citing statutes, precedents, or clauses absent</w:t>
      </w:r>
      <w:r>
        <w:t xml:space="preserve"> from the uploaded document. Explainability: The clause-level risk checklist with per-item justifications and safer alternatives provides a transparent, auditable basis for the computed score, essential for user trust in a legal context. Resilience: The au</w:t>
      </w:r>
      <w:r>
        <w:t>tomatic model fallback mechanism ensures uninterrupted service during Google API demand spikes. Modularity: Clean separation of the file parser, RAG service, and ChromaDB client enables independent testing and upgrading of any component. Accessibility: The</w:t>
      </w:r>
      <w:r>
        <w:t xml:space="preserve"> cyberpunk-minimal dark-mode interface with animated visual feedback lowers the cognitive barrier for non-legal users, translating complex risk analysis into an intuitive numerical score.</w:t>
      </w:r>
    </w:p>
    <w:p w:rsidR="005C3F40" w:rsidRDefault="00897EB5" w:rsidP="007B46CE">
      <w:pPr>
        <w:pStyle w:val="Heading2"/>
        <w:spacing w:before="4pt" w:after="2pt"/>
        <w:jc w:val="both"/>
      </w:pPr>
      <w:r>
        <w:rPr>
          <w:b/>
        </w:rPr>
        <w:t>B. Limitations</w:t>
      </w:r>
    </w:p>
    <w:p w:rsidR="005C3F40" w:rsidRDefault="00897EB5" w:rsidP="007B46CE">
      <w:pPr>
        <w:spacing w:after="4pt"/>
        <w:jc w:val="both"/>
      </w:pPr>
      <w:r>
        <w:t>Fixed-Size Chunking: The 1,000-character fixed-size c</w:t>
      </w:r>
      <w:r>
        <w:t>hunking strategy may split clause boundaries mid-sentence, potentially degrading retrieval precision. No Chunk Overlap: The absence of overlapping between chunks means a key legal phrase straddling a chunk boundary may be fragmented. Retrieval Depth: Retri</w:t>
      </w:r>
      <w:r>
        <w:t>eving only the top-3 chunks for query answering may miss relevant context in longer documents. Evaluation Scale: This paper evaluates on a single constructed test document; a large-scale evaluation across diverse contract types with human expert annotation</w:t>
      </w:r>
      <w:r>
        <w:t>s is needed to establish statistical validity. No Authentication: The current system has no user authentication; multi-tenancy isolation is required for production deployment.</w:t>
      </w:r>
    </w:p>
    <w:p w:rsidR="005C3F40" w:rsidRDefault="00897EB5" w:rsidP="007B46CE">
      <w:pPr>
        <w:pStyle w:val="Heading2"/>
        <w:spacing w:before="4pt" w:after="2pt"/>
        <w:jc w:val="both"/>
      </w:pPr>
      <w:r>
        <w:rPr>
          <w:b/>
        </w:rPr>
        <w:t>C. Future Work</w:t>
      </w:r>
    </w:p>
    <w:p w:rsidR="005C3F40" w:rsidRDefault="00897EB5" w:rsidP="007B46CE">
      <w:pPr>
        <w:spacing w:after="4pt"/>
        <w:jc w:val="both"/>
      </w:pPr>
      <w:r>
        <w:t xml:space="preserve">Planned extensions include: (1) Sentence/Clause-Level Chunking — </w:t>
      </w:r>
      <w:r>
        <w:t>implement legal-aware segmentation using SpaCy or a fine-tuned legal sentence boundary detector. (2) Hybrid Retrieval — combine dense vector retrieval with BM25 sparse retrieval for improved recall on exact legal term matching. (3) Multi-Document RAG — ena</w:t>
      </w:r>
      <w:r>
        <w:t xml:space="preserve">ble simultaneous analysis of multiple documents for cross-document clause comparison. (4) Fine-Tuned Risk </w:t>
      </w:r>
      <w:r>
        <w:lastRenderedPageBreak/>
        <w:t>Classifier — train a specialized legal clause risk classifier to supplement zero-shot LLM classification. (5) Citation Highlighting — surface exact so</w:t>
      </w:r>
      <w:r>
        <w:t>urce chunks with character offsets for direct document cross-referencing. (6) Multi-Tenancy and OAuth2 — implement per-user ChromaDB namespacing and secure authentication for SaaS deployment. (7) Offline Mode — integrate an open-source embedding model to s</w:t>
      </w:r>
      <w:r>
        <w:t>upport air-gapped legal environments.</w:t>
      </w:r>
    </w:p>
    <w:p w:rsidR="005C3F40" w:rsidRDefault="00897EB5" w:rsidP="007B46CE">
      <w:pPr>
        <w:pStyle w:val="Heading1"/>
        <w:spacing w:before="6pt" w:after="3pt"/>
        <w:jc w:val="both"/>
      </w:pPr>
      <w:r>
        <w:rPr>
          <w:b/>
        </w:rPr>
        <w:t>VIII.</w:t>
      </w:r>
    </w:p>
    <w:p w:rsidR="005C3F40" w:rsidRDefault="00897EB5" w:rsidP="007B46CE">
      <w:pPr>
        <w:spacing w:after="4pt"/>
        <w:jc w:val="both"/>
      </w:pPr>
      <w:r>
        <w:t>This paper presented JURY-AI, an end-to-end Retrieval-Augmented Generation system for automated legal document analysis. The system addresses the critical accessibility gap in legal risk assessment by combining m</w:t>
      </w:r>
      <w:r>
        <w:t>ulti-format document parsing, Google Gemini embedding and generation, ChromaDB vector retrieval, quantitative risk scoring, named entity extraction, AI-suggested safer clause alternatives, PDF report generation, and document history persistence within a re</w:t>
      </w:r>
      <w:r>
        <w:t>sponsive, animated full-stack web application.</w:t>
      </w:r>
    </w:p>
    <w:p w:rsidR="005C3F40" w:rsidRDefault="00897EB5" w:rsidP="007B46CE">
      <w:pPr>
        <w:spacing w:after="4pt"/>
        <w:jc w:val="both"/>
      </w:pPr>
      <w:r>
        <w:t>The evaluation demonstrates that JURY-AI successfully identifies a comprehensive range of high-risk clauses in adversarial SaaS agreements—including perpetual data licensing, unilateral fee modification, extre</w:t>
      </w:r>
      <w:r>
        <w:t>me liability caps, GDPR waivers, and broad indemnification—and delivers accurate, document-grounded natural language answers to user queries. The Quantitative Safety Index provides an intuitive, explainable numerical representation of overall legal risk im</w:t>
      </w:r>
      <w:r>
        <w:t>mediately actionable by non-expert users.</w:t>
      </w:r>
    </w:p>
    <w:p w:rsidR="005C3F40" w:rsidRDefault="00897EB5" w:rsidP="007B46CE">
      <w:pPr>
        <w:spacing w:after="4pt"/>
        <w:jc w:val="both"/>
      </w:pPr>
      <w:r>
        <w:t xml:space="preserve">JURY-AI represents a meaningful step toward democratizing legal intelligence. By grounding AI assistance in the specific document under review and providing clause-level explainability with actionable safer </w:t>
      </w:r>
      <w:r>
        <w:t>alternatives, the system bridges the gap between the complexity of legal language and the practical needs of individuals and businesses who cannot afford traditional legal counsel for routine document review. Future work will focus on expanding the evaluat</w:t>
      </w:r>
      <w:r>
        <w:t>ion corpus, implementing clause-aware chunking, and preparing the system for multi-tenant production deployment.</w:t>
      </w:r>
    </w:p>
    <w:p w:rsidR="005C3F40" w:rsidRDefault="005C3F40" w:rsidP="007B46CE">
      <w:pPr>
        <w:pStyle w:val="Heading1"/>
        <w:spacing w:before="6pt" w:after="3pt"/>
        <w:jc w:val="both"/>
      </w:pPr>
    </w:p>
    <w:p w:rsidR="005C3F40" w:rsidRDefault="00897EB5" w:rsidP="007B46CE">
      <w:pPr>
        <w:spacing w:after="4pt"/>
        <w:jc w:val="both"/>
      </w:pPr>
      <w:r>
        <w:t>The authors would like to thank the Department of Computer Science and Engineering, Dayananda Sagar Academy of Technology and Management (DSAT</w:t>
      </w:r>
      <w:r>
        <w:t>M), Bengaluru, for providing the academic environment and resources that facilitated this research. The authors also acknowledge Google DeepMind for providing access to the Gemini API and ChromaDB's open-source community for the vector database infrastruct</w:t>
      </w:r>
      <w:r>
        <w:t>ure used in this work.</w:t>
      </w:r>
    </w:p>
    <w:p w:rsidR="005C3F40" w:rsidRDefault="005C3F40" w:rsidP="007B46CE">
      <w:pPr>
        <w:pStyle w:val="Heading1"/>
        <w:spacing w:before="6pt" w:after="3pt"/>
        <w:jc w:val="both"/>
      </w:pPr>
    </w:p>
    <w:p w:rsidR="005C3F40" w:rsidRDefault="00897EB5" w:rsidP="007B46CE">
      <w:pPr>
        <w:spacing w:after="2pt"/>
        <w:jc w:val="both"/>
      </w:pPr>
      <w:r>
        <w:rPr>
          <w:sz w:val="16"/>
        </w:rPr>
        <w:t>[1] American Bar Association, The 2023 Legal Trends Report, Clio Legal Technologies, 2023.</w:t>
      </w:r>
    </w:p>
    <w:p w:rsidR="005C3F40" w:rsidRDefault="00897EB5" w:rsidP="007B46CE">
      <w:pPr>
        <w:spacing w:after="2pt"/>
        <w:jc w:val="both"/>
      </w:pPr>
      <w:r>
        <w:rPr>
          <w:sz w:val="16"/>
        </w:rPr>
        <w:t>[2] T. Brown et al., "Language Models are Few-Shot Learners," Advances in Neural Information Processing Systems (NeurIPS), vol. 33, pp. 1877–</w:t>
      </w:r>
      <w:r>
        <w:rPr>
          <w:sz w:val="16"/>
        </w:rPr>
        <w:t>1901, 2020.</w:t>
      </w:r>
    </w:p>
    <w:p w:rsidR="005C3F40" w:rsidRDefault="00897EB5" w:rsidP="007B46CE">
      <w:pPr>
        <w:spacing w:after="2pt"/>
        <w:jc w:val="both"/>
      </w:pPr>
      <w:r>
        <w:rPr>
          <w:sz w:val="16"/>
        </w:rPr>
        <w:t>[3] Google DeepMind, "Gemini: A Family of Highly Capable Multimodal Models," arXiv preprint arXiv:2312.11805, 2023.</w:t>
      </w:r>
    </w:p>
    <w:p w:rsidR="005C3F40" w:rsidRDefault="00897EB5" w:rsidP="007B46CE">
      <w:pPr>
        <w:spacing w:after="2pt"/>
        <w:jc w:val="both"/>
      </w:pPr>
      <w:r>
        <w:rPr>
          <w:sz w:val="16"/>
        </w:rPr>
        <w:lastRenderedPageBreak/>
        <w:t>[4] J. Maynez, S. Narayan, B. Bohnet, and R. McDonald, "On Faithfulness and Factuality in Abstractive Summarization," Proc. 58th</w:t>
      </w:r>
      <w:r>
        <w:rPr>
          <w:sz w:val="16"/>
        </w:rPr>
        <w:t xml:space="preserve"> Annual Meeting of the ACL, pp. 1906–1919, 2020.</w:t>
      </w:r>
    </w:p>
    <w:p w:rsidR="005C3F40" w:rsidRDefault="00897EB5" w:rsidP="007B46CE">
      <w:pPr>
        <w:spacing w:after="2pt"/>
        <w:jc w:val="both"/>
      </w:pPr>
      <w:r>
        <w:rPr>
          <w:sz w:val="16"/>
        </w:rPr>
        <w:t>[5] P. Lewis et al., "Retrieval-Augmented Generation for Knowledge-Intensive NLP Tasks," NeurIPS, vol. 33, pp. 9459–9474, 2020.</w:t>
      </w:r>
    </w:p>
    <w:p w:rsidR="005C3F40" w:rsidRDefault="00897EB5" w:rsidP="007B46CE">
      <w:pPr>
        <w:spacing w:after="2pt"/>
        <w:jc w:val="both"/>
      </w:pPr>
      <w:r>
        <w:rPr>
          <w:sz w:val="16"/>
        </w:rPr>
        <w:t>[6] I. Chalkidis, I. Androutsopoulos, and N. Michos, "Extracting Contract Eleme</w:t>
      </w:r>
      <w:r>
        <w:rPr>
          <w:sz w:val="16"/>
        </w:rPr>
        <w:t>nts," Proc. 16th ICAIL, pp. 19–28, 2017.</w:t>
      </w:r>
    </w:p>
    <w:p w:rsidR="005C3F40" w:rsidRDefault="00897EB5" w:rsidP="007B46CE">
      <w:pPr>
        <w:spacing w:after="2pt"/>
        <w:jc w:val="both"/>
      </w:pPr>
      <w:r>
        <w:rPr>
          <w:sz w:val="16"/>
        </w:rPr>
        <w:t>[7] K. Lam, "AI in Legal Practice: Promise and Peril," Harvard Journal of Law &amp; Technology, vol. 34, no. 1, pp. 101–132, 2020.</w:t>
      </w:r>
    </w:p>
    <w:p w:rsidR="005C3F40" w:rsidRDefault="00897EB5" w:rsidP="007B46CE">
      <w:pPr>
        <w:spacing w:after="2pt"/>
        <w:jc w:val="both"/>
      </w:pPr>
      <w:r>
        <w:rPr>
          <w:sz w:val="16"/>
        </w:rPr>
        <w:t xml:space="preserve">[8] J. Devlin, M. Chang, K. Lee, and K. Toutanova, "BERT: Pre-training of Deep </w:t>
      </w:r>
      <w:r>
        <w:rPr>
          <w:sz w:val="16"/>
        </w:rPr>
        <w:t>Bidirectional Transformers for Language Understanding," Proc. NAACL, pp. 4171–4186, 2019.</w:t>
      </w:r>
    </w:p>
    <w:p w:rsidR="005C3F40" w:rsidRDefault="00897EB5" w:rsidP="007B46CE">
      <w:pPr>
        <w:spacing w:after="2pt"/>
        <w:jc w:val="both"/>
      </w:pPr>
      <w:r>
        <w:rPr>
          <w:sz w:val="16"/>
        </w:rPr>
        <w:t>[9] I. Chalkidis et al., "LEGAL-BERT: The Muppets straight out of Law School," Findings of ACL: EMNLP 2020, pp. 2898–2904, 2020.</w:t>
      </w:r>
    </w:p>
    <w:p w:rsidR="005C3F40" w:rsidRDefault="00897EB5" w:rsidP="007B46CE">
      <w:pPr>
        <w:spacing w:after="2pt"/>
        <w:jc w:val="both"/>
      </w:pPr>
      <w:r>
        <w:rPr>
          <w:sz w:val="16"/>
        </w:rPr>
        <w:t>[10] M. Haidari and A. Fernandez-Lope</w:t>
      </w:r>
      <w:r>
        <w:rPr>
          <w:sz w:val="16"/>
        </w:rPr>
        <w:t>z, "GPT-4 for Legal Summarization: A Comparative Study," Proc. 19th ICAIL, pp. 44–53, 2023.</w:t>
      </w:r>
    </w:p>
    <w:p w:rsidR="005C3F40" w:rsidRDefault="00897EB5" w:rsidP="007B46CE">
      <w:pPr>
        <w:spacing w:after="2pt"/>
        <w:jc w:val="both"/>
      </w:pPr>
      <w:r>
        <w:rPr>
          <w:sz w:val="16"/>
        </w:rPr>
        <w:t>[11] N. Aletras, D. Tsarapatsanis, D. Preoțiuc-Pietro, and V. Lampos, "Predicting Judicial Decisions of the European Court of Human Rights," PeerJ Computer Science,</w:t>
      </w:r>
      <w:r>
        <w:rPr>
          <w:sz w:val="16"/>
        </w:rPr>
        <w:t xml:space="preserve"> vol. 2, e93, 2016.</w:t>
      </w:r>
    </w:p>
    <w:p w:rsidR="005C3F40" w:rsidRDefault="00897EB5" w:rsidP="007B46CE">
      <w:pPr>
        <w:spacing w:after="2pt"/>
        <w:jc w:val="both"/>
      </w:pPr>
      <w:r>
        <w:rPr>
          <w:sz w:val="16"/>
        </w:rPr>
        <w:t>[12] A. Asai, O. Min, Z. Zhong, and D. Chen, "Retrieval-based Language Models and Applications," Proc. 61st ACL Tutorial, 2023.</w:t>
      </w:r>
    </w:p>
    <w:p w:rsidR="005C3F40" w:rsidRDefault="00897EB5" w:rsidP="007B46CE">
      <w:pPr>
        <w:spacing w:after="2pt"/>
        <w:jc w:val="both"/>
      </w:pPr>
      <w:r>
        <w:rPr>
          <w:sz w:val="16"/>
        </w:rPr>
        <w:t>[13] L. Zheng, N. Guha, B. R. Anderson, P. Henderson, and D. E. Ho, "When Does Pretraining Help? Assessing S</w:t>
      </w:r>
      <w:r>
        <w:rPr>
          <w:sz w:val="16"/>
        </w:rPr>
        <w:t>elf-Supervised Learning for Law and the CaseHOLD Dataset," Proc. 18th ICAIL, pp. 159–168, 2021.</w:t>
      </w:r>
    </w:p>
    <w:p w:rsidR="005C3F40" w:rsidRDefault="00897EB5" w:rsidP="007B46CE">
      <w:pPr>
        <w:spacing w:after="2pt"/>
        <w:jc w:val="both"/>
      </w:pPr>
      <w:r>
        <w:rPr>
          <w:sz w:val="16"/>
        </w:rPr>
        <w:t>[14] R. Shao, Z. Liu, L. Yin, S. Zheng, and L. Peng, "LAWYER LLaMA: Enhancing LLMs for Legal Practice," arXiv preprint arXiv:2305.15062, 2023.</w:t>
      </w:r>
    </w:p>
    <w:p w:rsidR="005C3F40" w:rsidRDefault="00897EB5" w:rsidP="007B46CE">
      <w:pPr>
        <w:spacing w:after="2pt"/>
        <w:jc w:val="both"/>
      </w:pPr>
      <w:r>
        <w:rPr>
          <w:sz w:val="16"/>
        </w:rPr>
        <w:t>[15] J. Anton and</w:t>
      </w:r>
      <w:r>
        <w:rPr>
          <w:sz w:val="16"/>
        </w:rPr>
        <w:t xml:space="preserve"> C. Biggs, "ChromaDB: The AI-Native Open-Source Embedding Database," GitHub Repository, https://github.com/chroma-core/chroma, 2023.</w:t>
      </w:r>
    </w:p>
    <w:p w:rsidR="005C3F40" w:rsidRDefault="00897EB5" w:rsidP="007B46CE">
      <w:pPr>
        <w:spacing w:after="2pt"/>
        <w:jc w:val="both"/>
      </w:pPr>
      <w:r>
        <w:rPr>
          <w:sz w:val="16"/>
        </w:rPr>
        <w:t>[16] E. Raad and A. Dorot, "Pinecone Vector Database: Architecture and Applications," Proc. IEEE International Conference o</w:t>
      </w:r>
      <w:r>
        <w:rPr>
          <w:sz w:val="16"/>
        </w:rPr>
        <w:t>n Big Data, pp. 2134–2140, 2022.</w:t>
      </w:r>
    </w:p>
    <w:p w:rsidR="005C3F40" w:rsidRDefault="00897EB5" w:rsidP="007B46CE">
      <w:pPr>
        <w:spacing w:after="2pt"/>
        <w:jc w:val="both"/>
      </w:pPr>
      <w:r>
        <w:rPr>
          <w:sz w:val="16"/>
        </w:rPr>
        <w:t>[17] B. Patel, S. Bhatt, and P. Soni, "Weaviate: An Open-Source Vector Search Engine," Proc. ACM CIKM, pp. 4832–4836, 2022.</w:t>
      </w:r>
    </w:p>
    <w:p w:rsidR="005C3F40" w:rsidRDefault="00897EB5" w:rsidP="007B46CE">
      <w:pPr>
        <w:spacing w:after="2pt"/>
        <w:jc w:val="both"/>
      </w:pPr>
      <w:r>
        <w:rPr>
          <w:sz w:val="16"/>
        </w:rPr>
        <w:t>[18] K. Zhang et al., "Topic-Aware Neural Abstractive Summarization with Clause-Level Chunking," Pr</w:t>
      </w:r>
      <w:r>
        <w:rPr>
          <w:sz w:val="16"/>
        </w:rPr>
        <w:t>oc. EMNLP 2022, pp. 3102–3115, 2022.</w:t>
      </w:r>
    </w:p>
    <w:sectPr w:rsidR="005C3F40" w:rsidSect="0005005C">
      <w:type w:val="continuous"/>
      <w:pgSz w:w="595.30pt" w:h="841.90pt" w:code="9"/>
      <w:pgMar w:top="54pt" w:right="44.65pt" w:bottom="72pt" w:left="44.65pt" w:header="36pt" w:footer="36pt" w:gutter="0pt"/>
      <w:cols w:num="2" w:space="36pt"/>
      <w:docGrid w:linePitch="360"/>
    </w:sectPr>
  </w:body>
</w:document>
</file>

<file path=word/endnotes.xml><?xml version="1.0" encoding="utf-8"?>
<w:endnotes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endnote w:type="separator" w:id="-1">
    <w:p w:rsidR="00897EB5" w:rsidRDefault="00897EB5" w:rsidP="001A3B3D">
      <w:r>
        <w:separator/>
      </w:r>
    </w:p>
  </w:endnote>
  <w:endnote w:type="continuationSeparator" w:id="0">
    <w:p w:rsidR="00897EB5" w:rsidRDefault="00897EB5"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notes.xml><?xml version="1.0" encoding="utf-8"?>
<w:footnotes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footnote w:type="separator" w:id="-1">
    <w:p w:rsidR="00897EB5" w:rsidRDefault="00897EB5" w:rsidP="001A3B3D">
      <w:r>
        <w:separator/>
      </w:r>
    </w:p>
  </w:footnote>
  <w:footnote w:type="continuationSeparator" w:id="0">
    <w:p w:rsidR="00897EB5" w:rsidRDefault="00897EB5" w:rsidP="001A3B3D">
      <w:r>
        <w:continuationSeparator/>
      </w:r>
    </w:p>
  </w:footnote>
</w:footnotes>
</file>

<file path=word/numbering.xml><?xml version="1.0" encoding="utf-8"?>
<w:numbering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5005C"/>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C3F40"/>
    <w:rsid w:val="005E2800"/>
    <w:rsid w:val="00605825"/>
    <w:rsid w:val="00645D22"/>
    <w:rsid w:val="00651A08"/>
    <w:rsid w:val="00654204"/>
    <w:rsid w:val="00670434"/>
    <w:rsid w:val="006A5D82"/>
    <w:rsid w:val="006B6B66"/>
    <w:rsid w:val="006F6D3D"/>
    <w:rsid w:val="00715BEA"/>
    <w:rsid w:val="00740EEA"/>
    <w:rsid w:val="00794804"/>
    <w:rsid w:val="007B33F1"/>
    <w:rsid w:val="007B46CE"/>
    <w:rsid w:val="007B6DDA"/>
    <w:rsid w:val="007C0308"/>
    <w:rsid w:val="007C2FF2"/>
    <w:rsid w:val="007D6232"/>
    <w:rsid w:val="007F1F99"/>
    <w:rsid w:val="007F768F"/>
    <w:rsid w:val="0080791D"/>
    <w:rsid w:val="008147B5"/>
    <w:rsid w:val="00836367"/>
    <w:rsid w:val="00841333"/>
    <w:rsid w:val="00873603"/>
    <w:rsid w:val="00897EB5"/>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D2C9BAD"/>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purl.oclc.org/ooxml/officeDocument/relationships/fontTable" Target="fontTable.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4" Type="http://purl.oclc.org/ooxml/officeDocument/relationships/settings" Target="settings.xml"/><Relationship Id="rId9" Type="http://purl.oclc.org/ooxml/officeDocument/relationships/theme" Target="theme/theme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53F22531-6D51-4C88-926E-F76A35080040}">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3</TotalTime>
  <Pages>5</Pages>
  <Words>4051</Words>
  <Characters>23096</Characters>
  <Application>Microsoft Office Word</Application>
  <DocSecurity>0</DocSecurity>
  <Lines>192</Lines>
  <Paragraphs>54</Paragraphs>
  <ScaleCrop>false</ScaleCrop>
  <Company/>
  <LinksUpToDate>false</LinksUpToDate>
  <CharactersWithSpaces>27093</CharactersWithSpaces>
  <SharedDoc>false</SharedDoc>
  <HyperlinksChanged>false</HyperlinksChanged>
  <AppVersion>16.0000</AppVersion>
</Properties>
</file>

<file path=docProps/app0.xml><?xml version="1.0" encoding="utf-8"?>
<Properties xmlns="http://purl.oclc.org/ooxml/officeDocument/extendedProperties" xmlns:vt="http://purl.oclc.org/ooxml/officeDocument/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HP</cp:lastModifiedBy>
  <cp:revision>15</cp:revision>
  <dcterms:created xsi:type="dcterms:W3CDTF">2024-07-16T13:42:00Z</dcterms:created>
  <dcterms:modified xsi:type="dcterms:W3CDTF">2026-05-21T06:04:00Z</dcterms:modified>
</cp:coreProperties>
</file>