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Real Estate Office Lease Agreement</w:t>
      </w:r>
    </w:p>
    <w:p>
      <w:r>
        <w:t>COMMERCIAL REAL ESTATE OFFICE LEASE AGREEMENT</w:t>
      </w:r>
    </w:p>
    <w:p>
      <w:r>
        <w:t>This Commercial Office Lease ("Lease") is executed on October 4, 2024, by Skyline Tower Properties Inc. ("Landlord") and Innovatech Software Studio LLC ("Tenant").</w:t>
      </w:r>
    </w:p>
    <w:p>
      <w:r>
        <w:t>1. DEMISED PREMISES</w:t>
      </w:r>
    </w:p>
    <w:p>
      <w:r>
        <w:t>Landlord leases to Tenant Suite 1400 comprising approximately 3,500 rentable square feet at 500 Commerce Boulevard, Dallas, Texas.</w:t>
      </w:r>
    </w:p>
    <w:p>
      <w:r>
        <w:t>2. TERM AND RENT</w:t>
      </w:r>
    </w:p>
    <w:p>
      <w:r>
        <w:t>The initial term is thirty-six (36) months commencing November 1, 2024. Tenant shall pay Base Rent of $14,000 USD per month on or before the first day of each calendar month.</w:t>
      </w:r>
    </w:p>
    <w:p>
      <w:r>
        <w:t>3. SECURITY DEPOSIT &amp; FORFEITURE</w:t>
      </w:r>
    </w:p>
    <w:p>
      <w:r>
        <w:t>Tenant shall deposit $42,000 USD upon execution. If Tenant defaults in any covenant of this Lease, Landlord may retain the entire Security Deposit as liquidated damages without prejudice to other remedies.</w:t>
      </w:r>
    </w:p>
    <w:p>
      <w:r>
        <w:t>4. OPERATING EXPENSES (CAM)</w:t>
      </w:r>
    </w:p>
    <w:p>
      <w:r>
        <w:t>Tenant shall pay its proportionate share (4.2%) of all building operating expenses, taxes, structural roof repairs, elevator overhauls, and capital upgrades without limitation or ceiling cap.</w:t>
      </w:r>
    </w:p>
    <w:p>
      <w:r>
        <w:t>5. ASSIGNMENT AND SUBLETTING</w:t>
      </w:r>
    </w:p>
    <w:p>
      <w:r>
        <w:t>Tenant shall not assign, mortgage, pledge, or sublet any portion of the Demised Premises without Landlord's sole, unfettered discretion. Any unauthorized occupant shall be deemed an unlawful trespasser.</w:t>
      </w:r>
    </w:p>
    <w:p>
      <w:r>
        <w:t>6. SURRENDER OF PREMISES</w:t>
      </w:r>
    </w:p>
    <w:p>
      <w:r>
        <w:t>Upon termination, Tenant shall restore the premises to its original pristine base-building condition at Tenant's sole expense.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