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Joint Venture and Cross-License MOU</w:t>
      </w:r>
    </w:p>
    <w:p>
      <w:r>
        <w:t>STRATEGIC JOINT VENTURE AND CROSS-LICENSE MOU</w:t>
      </w:r>
    </w:p>
    <w:p>
      <w:r>
        <w:t>This Strategic Joint Venture Memorandum ("MOU") is entered into on October 7, 2024, by Solaria Clean Energy Corp. ("Solaria") and Horizon Grid Systems Inc. ("Horizon").</w:t>
      </w:r>
    </w:p>
    <w:p>
      <w:r>
        <w:t>1. PARTNERSHIP PURPOSE</w:t>
      </w:r>
    </w:p>
    <w:p>
      <w:r>
        <w:t>The parties intend to form a 50/50 Delaware Limited Liability Company ("JV Entity") to construct commercial grid-scale energy storage facilities.</w:t>
      </w:r>
    </w:p>
    <w:p>
      <w:r>
        <w:t>2. CAPITALIZATION</w:t>
      </w:r>
    </w:p>
    <w:p>
      <w:r>
        <w:t>Each party shall contribute $1,000,000 USD in initial cash equity, securing equal 50% voting membership interests.</w:t>
      </w:r>
    </w:p>
    <w:p>
      <w:r>
        <w:t>3. DEADLOCK RESOLUTION (SHOTGUN BUY-SELL)</w:t>
      </w:r>
    </w:p>
    <w:p>
      <w:r>
        <w:t>If the Board of Managers cannot achieve agreement on a Major Decision for forty-five (45) days, either party may invoke a Russian Roulette Buy-Sell notice stating a cash valuation per share. The receiving party must either purchase the initiating party's interest or sell its own interest at that stated price within fifteen (15) days.</w:t>
      </w:r>
    </w:p>
    <w:p>
      <w:r>
        <w:t>4. EXCLUSIVITY</w:t>
      </w:r>
    </w:p>
    <w:p>
      <w:r>
        <w:t>During the term of this MOU and for twelve (12) months following termination, neither party shall participate in competing utility-scale battery initiatives in North America.</w:t>
      </w:r>
    </w:p>
    <w:p>
      <w:r>
        <w:t>5. NON-BINDING NATURE</w:t>
      </w:r>
    </w:p>
    <w:p>
      <w:r>
        <w:t>Except for Sections 3, 4, and Governing Law, this MOU represents an expression of commercial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