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EEE_Title"/>
      </w:pPr>
      <w:r>
        <w:t>JURY-AI: An Intelligent Legal Document Analysis Platform Using Retrieval-Augmented Generation</w:t>
      </w:r>
    </w:p>
    <w:p>
      <w:pPr>
        <w:pStyle w:val="IEEE_Authors"/>
      </w:pPr>
      <w:r>
        <w:t>Gaurav Jha, Kalash Verma, Komal Raj, Krish Patel, Ms. Vijaylaxmi Inamdar</w:t>
      </w:r>
    </w:p>
    <w:p>
      <w:pPr>
        <w:pStyle w:val="IEEE_Affiliation"/>
      </w:pPr>
      <w:r>
        <w:t>Department of Computer Science and Engineering</w:t>
        <w:br/>
        <w:t>Dayananda Sagar Academy of Technology and Management (DSATM)</w:t>
        <w:br/>
        <w:t>Bengaluru, India</w:t>
      </w:r>
    </w:p>
    <w:p>
      <w:pPr>
        <w:pStyle w:val="IEEE_Abstract_Heading"/>
      </w:pPr>
      <w:r>
        <w:t>Abstract—</w:t>
      </w:r>
      <w:r>
        <w:rPr>
          <w:b w:val="0"/>
        </w:rPr>
        <w:t>Legal documents are often hard for everyday people to read and understand. They are packed with complex jargon, long clauses, and hidden risks. This makes signing contracts or agreements a stressful process for anyone without a legal background. We built JURY-AI, an intelligent platform that breaks down complex legal texts into simple language. Our system uses Retrieval-Augmented Generation (RAG) combined with Google Gemini models to provide instant document summaries, risk assessments, and a question-answering interface. The platform handles PDF, DOCX, and TXT files, automatically extracting named entities and calculating a safety score from 0 to 100 based on clause severity. The results show that our pipeline can parse a standard 10-page contract in under 3 seconds, correctly identifying critical risk factors with 92% accuracy compared to manual human review. We found that giving users clear visual indicators like a safety gauge and suggesting safer alternatives for risky clauses significantly improved their confidence when dealing with legal paperwork.</w:t>
      </w:r>
    </w:p>
    <w:p>
      <w:pPr>
        <w:pStyle w:val="IEEE_Keywords_Heading"/>
      </w:pPr>
      <w:r>
        <w:t>Keywords—</w:t>
      </w:r>
      <w:r>
        <w:rPr>
          <w:b w:val="0"/>
        </w:rPr>
        <w:t>Legal document analysis, retrieval-augmented generation, large language models, risk assessment, natural language processing.</w:t>
      </w:r>
    </w:p>
    <w:p>
      <w:pPr>
        <w:pStyle w:val="IEEE_Heading_1"/>
      </w:pPr>
      <w:r>
        <w:t>I. INTRODUCTION</w:t>
      </w:r>
    </w:p>
    <w:p>
      <w:pPr>
        <w:pStyle w:val="IEEE_Body_No_Indent"/>
      </w:pPr>
      <w:r>
        <w:t>Most people sign contracts, terms of service, and lease agreements without actually reading them. The language is confusing, and hiring a lawyer to explain everything is too expensive for everyday transactions. This creates a big gap where laypersons are legally bound to terms they don't fully understand. We noticed this problem when reviewing our own rental agreements and decided to build something to fix it.</w:t>
      </w:r>
    </w:p>
    <w:p>
      <w:pPr>
        <w:pStyle w:val="IEEE_Body"/>
      </w:pPr>
      <w:r>
        <w:t>Recent advancements in Large Language Models (LLMs) have made it possible for computers to read and summarize text better than before. But standard LLMs sometimes hallucinate or give generic advice that doesn't apply to the specific contract you uploaded. That's why we decided to use Retrieval-Augmented Generation (RAG). By grounding the AI's answers strictly in the text of the uploaded document, we keep the responses accurate and relevant.</w:t>
      </w:r>
    </w:p>
    <w:p>
      <w:pPr>
        <w:pStyle w:val="IEEE_Body"/>
      </w:pPr>
      <w:r>
        <w:t>In this paper, we present JURY-AI, a full-stack platform designed to analyze legal documents quickly. It allows users to drag and drop files, get a quick 2-3 sentence summary, and see a safety score ranging from 0 to 100. We also implemented a feature that extracts important details like party names and dates, and even suggests fairer ways to rewrite risky clauses.</w:t>
      </w:r>
    </w:p>
    <w:p>
      <w:pPr>
        <w:pStyle w:val="IEEE_Body"/>
      </w:pPr>
      <w:r>
        <w:t>The rest of this paper is organized as follows. Section II reviews existing tools and research. Section III explains our system architecture. Section IV details the methodology, including our chunking strategy and risk scoring algorithm. Section V covers the implementation details of our frontend and backend. Section VI presents our evaluation and performance metrics. Finally, Sections VII and VIII discuss our findings and outline future work.</w:t>
      </w:r>
    </w:p>
    <w:p>
      <w:pPr>
        <w:pStyle w:val="IEEE_Heading_1"/>
      </w:pPr>
      <w:r>
        <w:t>II. RELATED WORK</w:t>
      </w:r>
    </w:p>
    <w:p>
      <w:pPr>
        <w:pStyle w:val="IEEE_Body_No_Indent"/>
      </w:pPr>
      <w:r>
        <w:t>There are already several attempts to apply AI to the legal field. Tools like LexNLP provide open-source python packages for natural language processing specifically trained on legal text. It does a good job of extracting information but lacks a user-friendly interface for non-technical users. On the commercial side, products like ROSS Intelligence and Harvey AI are designed primarily for law firms. They are expensive and require a deep understanding of legal procedures to use effectively.</w:t>
      </w:r>
    </w:p>
    <w:p>
      <w:pPr>
        <w:pStyle w:val="IEEE_Body"/>
      </w:pPr>
      <w:r>
        <w:t>Another popular application is DoNotPay, which focuses on specific tasks like contesting parking tickets or canceling subscriptions. While helpful, it operates more like a chatbot with predefined workflows rather than a general document analyzer. We wanted something that sits in the middle: accessible to regular people but flexible enough to analyze any contract you throw at it.</w:t>
      </w:r>
    </w:p>
    <w:p>
      <w:pPr>
        <w:pStyle w:val="IEEE_Body"/>
      </w:pPr>
      <w:r>
        <w:t>In academic research, applying RAG to specialized domains is an active area of study. A lot of recent papers show that chunking text and storing it in a vector database drastically reduces the hallucination rate of generative models. We built upon these ideas but added specific rules for risk scoring and clause detection. Unlike generic RAG setups, our approach specifically looks for patterns that indicate liability, indemnification, or hidden fees, mapping them to a calculated safety score.</w:t>
      </w:r>
    </w:p>
    <w:p>
      <w:pPr>
        <w:pStyle w:val="IEEE_Heading_1"/>
      </w:pPr>
      <w:r>
        <w:t>III. SYSTEM ARCHITECTURE</w:t>
      </w:r>
    </w:p>
    <w:p>
      <w:pPr>
        <w:pStyle w:val="IEEE_Body_No_Indent"/>
      </w:pPr>
      <w:r>
        <w:t>We designed JURY-AI using a modern three-tier architecture consisting of a client frontend, an application backend, and an AI/Data layer. Our goal was to make the app fast and responsive, which guided our technology choices.</w:t>
      </w:r>
    </w:p>
    <w:p>
      <w:pPr>
        <w:pStyle w:val="IEEE_Body"/>
      </w:pPr>
      <w:r>
        <w:t>The frontend is built with Next.js 16 and React 19. We used TailwindCSS for styling and Framer Motion to add smooth animations, like the radial gauge for the safety score. This runs in the user's browser and communicates via REST APIs to our backend server.</w:t>
      </w:r>
    </w:p>
    <w:p>
      <w:pPr>
        <w:pStyle w:val="IEEE_Body"/>
      </w:pPr>
      <w:r>
        <w:t>For the backend, we chose FastAPI running on Python 3.10 with the Uvicorn ASGI server. FastAPI is great because it handles asynchronous requests well, which is important when we are waiting for the AI models to process large documents. The backend coordinates the file parsing, embedding generation, and database interactions.</w:t>
      </w:r>
    </w:p>
    <w:p>
      <w:pPr>
        <w:pStyle w:val="IEEE_Body"/>
      </w:pPr>
      <w:r>
        <w:t>The AI layer relies entirely on Google's Gemini models. We use gemini-2.5-flash for fast text generation and summary, keeping gemini-2.0-flash as a fallback. For our vector database, we run a local persistent instance of ChromaDB. Table I lists all the major components we used.</w:t>
      </w:r>
    </w:p>
    <w:p>
      <w:pPr>
        <w:pStyle w:val="IEEE_Table_Title"/>
      </w:pPr>
      <w:r>
        <w:t>TABLE I. TECHNOLOGY STACK COMPONENTS</w:t>
      </w:r>
    </w:p>
    <w:tbl>
      <w:tblPr>
        <w:tblStyle w:val="TableGrid"/>
        <w:tblW w:type="auto" w:w="0"/>
        <w:tblLook w:firstColumn="1" w:firstRow="1" w:lastColumn="0" w:lastRow="0" w:noHBand="0" w:noVBand="1" w:val="04A0"/>
      </w:tblPr>
      <w:tblGrid>
        <w:gridCol w:w="4981"/>
        <w:gridCol w:w="4981"/>
      </w:tblGrid>
      <w:tr>
        <w:tc>
          <w:tcPr>
            <w:tcW w:type="dxa" w:w="4981"/>
          </w:tcPr>
          <w:p>
            <w:r>
              <w:t>Component</w:t>
            </w:r>
          </w:p>
        </w:tc>
        <w:tc>
          <w:tcPr>
            <w:tcW w:type="dxa" w:w="4981"/>
          </w:tcPr>
          <w:p>
            <w:r>
              <w:t>Technology Choice</w:t>
            </w:r>
          </w:p>
        </w:tc>
      </w:tr>
      <w:tr>
        <w:tc>
          <w:tcPr>
            <w:tcW w:type="dxa" w:w="4981"/>
          </w:tcPr>
          <w:p>
            <w:r>
              <w:t>Frontend Framework</w:t>
            </w:r>
          </w:p>
        </w:tc>
        <w:tc>
          <w:tcPr>
            <w:tcW w:type="dxa" w:w="4981"/>
          </w:tcPr>
          <w:p>
            <w:r>
              <w:t>Next.js 16, React 19</w:t>
            </w:r>
          </w:p>
        </w:tc>
      </w:tr>
      <w:tr>
        <w:tc>
          <w:tcPr>
            <w:tcW w:type="dxa" w:w="4981"/>
          </w:tcPr>
          <w:p>
            <w:r>
              <w:t>UI Styling &amp; Animation</w:t>
            </w:r>
          </w:p>
        </w:tc>
        <w:tc>
          <w:tcPr>
            <w:tcW w:type="dxa" w:w="4981"/>
          </w:tcPr>
          <w:p>
            <w:r>
              <w:t>TailwindCSS, Framer Motion</w:t>
            </w:r>
          </w:p>
        </w:tc>
      </w:tr>
      <w:tr>
        <w:tc>
          <w:tcPr>
            <w:tcW w:type="dxa" w:w="4981"/>
          </w:tcPr>
          <w:p>
            <w:r>
              <w:t>Backend API</w:t>
            </w:r>
          </w:p>
        </w:tc>
        <w:tc>
          <w:tcPr>
            <w:tcW w:type="dxa" w:w="4981"/>
          </w:tcPr>
          <w:p>
            <w:r>
              <w:t>FastAPI, Python 3.10+, Uvicorn</w:t>
            </w:r>
          </w:p>
        </w:tc>
      </w:tr>
      <w:tr>
        <w:tc>
          <w:tcPr>
            <w:tcW w:type="dxa" w:w="4981"/>
          </w:tcPr>
          <w:p>
            <w:r>
              <w:t>LLM Provider</w:t>
            </w:r>
          </w:p>
        </w:tc>
        <w:tc>
          <w:tcPr>
            <w:tcW w:type="dxa" w:w="4981"/>
          </w:tcPr>
          <w:p>
            <w:r>
              <w:t>Google Gemini (2.5-flash / 2.0-flash)</w:t>
            </w:r>
          </w:p>
        </w:tc>
      </w:tr>
      <w:tr>
        <w:tc>
          <w:tcPr>
            <w:tcW w:type="dxa" w:w="4981"/>
          </w:tcPr>
          <w:p>
            <w:r>
              <w:t>Embedding Model</w:t>
            </w:r>
          </w:p>
        </w:tc>
        <w:tc>
          <w:tcPr>
            <w:tcW w:type="dxa" w:w="4981"/>
          </w:tcPr>
          <w:p>
            <w:r>
              <w:t>gemini-embedding-2 (3,072 dims)</w:t>
            </w:r>
          </w:p>
        </w:tc>
      </w:tr>
      <w:tr>
        <w:tc>
          <w:tcPr>
            <w:tcW w:type="dxa" w:w="4981"/>
          </w:tcPr>
          <w:p>
            <w:r>
              <w:t>Vector Database</w:t>
            </w:r>
          </w:p>
        </w:tc>
        <w:tc>
          <w:tcPr>
            <w:tcW w:type="dxa" w:w="4981"/>
          </w:tcPr>
          <w:p>
            <w:r>
              <w:t>ChromaDB (local persistent)</w:t>
            </w:r>
          </w:p>
        </w:tc>
      </w:tr>
      <w:tr>
        <w:tc>
          <w:tcPr>
            <w:tcW w:type="dxa" w:w="4981"/>
          </w:tcPr>
          <w:p>
            <w:r>
              <w:t>Document Parsing</w:t>
            </w:r>
          </w:p>
        </w:tc>
        <w:tc>
          <w:tcPr>
            <w:tcW w:type="dxa" w:w="4981"/>
          </w:tcPr>
          <w:p>
            <w:r>
              <w:t>PyMuPDF, python-docx</w:t>
            </w:r>
          </w:p>
        </w:tc>
      </w:tr>
    </w:tbl>
    <w:p>
      <w:pPr>
        <w:pStyle w:val="IEEE_Body"/>
      </w:pPr>
    </w:p>
    <w:p>
      <w:pPr>
        <w:pStyle w:val="IEEE_Heading_1"/>
      </w:pPr>
      <w:r>
        <w:t>IV. METHODOLOGY</w:t>
      </w:r>
    </w:p>
    <w:p>
      <w:pPr>
        <w:pStyle w:val="IEEE_Heading_2"/>
      </w:pPr>
      <w:r>
        <w:t>A. Document Ingestion and Parsing</w:t>
      </w:r>
    </w:p>
    <w:p>
      <w:pPr>
        <w:pStyle w:val="IEEE_Body_No_Indent"/>
      </w:pPr>
      <w:r>
        <w:t>When a user drops a file into the web interface, the frontend sends it to our /api/upload endpoint. We support PDF, DOCX, and standard TXT files. For PDFs, we use PyMuPDF because it handles complex layouts better than older libraries. For Word documents, python-docx extracts the paragraphs. We clean the text by removing extra whitespace and weird formatting characters before it moves to the next step.</w:t>
      </w:r>
    </w:p>
    <w:p>
      <w:pPr>
        <w:pStyle w:val="IEEE_Heading_2"/>
      </w:pPr>
      <w:r>
        <w:t>B. Text Chunking Strategy</w:t>
      </w:r>
    </w:p>
    <w:p>
      <w:pPr>
        <w:pStyle w:val="IEEE_Body_No_Indent"/>
      </w:pPr>
      <w:r>
        <w:t>Feeding an entire 20-page contract into an LLM all at once is slow and sometimes hits token limits. Instead, we split the parsed text into smaller pieces. We chose a chunk size of 1,000 characters with a small overlap of 100 characters between chunks. The overlap ensures we don't accidentally cut a sentence or an important clause in half. Each chunk is tagged with metadata linking it back to the original document ID.</w:t>
      </w:r>
    </w:p>
    <w:p>
      <w:pPr>
        <w:pStyle w:val="IEEE_Heading_2"/>
      </w:pPr>
      <w:r>
        <w:t>C. Vector Embedding and Storage</w:t>
      </w:r>
    </w:p>
    <w:p>
      <w:pPr>
        <w:pStyle w:val="IEEE_Body_No_Indent"/>
      </w:pPr>
      <w:r>
        <w:t>We pass each text chunk to the gemini-embedding-2 model. This model converts the raw text into a 3,072-dimensional vector. These vectors represent the semantic meaning of the text. We then store the vectors, along with the original text chunk and its metadata, into ChromaDB. By saving this locally on the server, we don't have to re-embed the document every time the user asks a question.</w:t>
      </w:r>
    </w:p>
    <w:p>
      <w:pPr>
        <w:pStyle w:val="IEEE_Heading_2"/>
      </w:pPr>
      <w:r>
        <w:t>D. Retrieval-Augmented Generation Pipeline</w:t>
      </w:r>
    </w:p>
    <w:p>
      <w:pPr>
        <w:pStyle w:val="IEEE_Body_No_Indent"/>
      </w:pPr>
      <w:r>
        <w:t>Our RAG pipeline powers the legal Q&amp;A feature. When the user asks a question, like "Can the landlord evict me without notice?", we embed their question using the same model. We then query ChromaDB for the top 3 most similar chunks using cosine similarity. The backend takes these 3 chunks and builds a prompt for the Gemini model. We explicitly instruct the model to only use the provided context to answer the question, which prevents it from making up legal rules that aren't actually in the contract.</w:t>
      </w:r>
    </w:p>
    <w:p>
      <w:pPr>
        <w:pStyle w:val="IEEE_Heading_2"/>
      </w:pPr>
      <w:r>
        <w:t>E. Risk Scoring Algorithm</w:t>
      </w:r>
    </w:p>
    <w:p>
      <w:pPr>
        <w:pStyle w:val="IEEE_Body_No_Indent"/>
      </w:pPr>
      <w:r>
        <w:t>One of the main features of JURY-AI is the safety score. We scan the document for specific types of clauses—like automatic renewals, heavy penalties, or unfair liability shifts. When we find a risky clause, we assign it a severity level. The document starts with a perfect score of 100. We subtract points based on the severity of each identified risk. Table II shows the penalty weights.</w:t>
      </w:r>
    </w:p>
    <w:p>
      <w:pPr>
        <w:pStyle w:val="IEEE_Table_Title"/>
      </w:pPr>
      <w:r>
        <w:t>TABLE II. RISK SCORING WEIGHTS</w:t>
      </w:r>
    </w:p>
    <w:tbl>
      <w:tblPr>
        <w:tblStyle w:val="TableGrid"/>
        <w:tblW w:type="auto" w:w="0"/>
        <w:tblLook w:firstColumn="1" w:firstRow="1" w:lastColumn="0" w:lastRow="0" w:noHBand="0" w:noVBand="1" w:val="04A0"/>
      </w:tblPr>
      <w:tblGrid>
        <w:gridCol w:w="3321"/>
        <w:gridCol w:w="3321"/>
        <w:gridCol w:w="3321"/>
      </w:tblGrid>
      <w:tr>
        <w:tc>
          <w:tcPr>
            <w:tcW w:type="dxa" w:w="3321"/>
          </w:tcPr>
          <w:p>
            <w:r>
              <w:t>Severity Level</w:t>
            </w:r>
          </w:p>
        </w:tc>
        <w:tc>
          <w:tcPr>
            <w:tcW w:type="dxa" w:w="3321"/>
          </w:tcPr>
          <w:p>
            <w:r>
              <w:t>Point Deduction</w:t>
            </w:r>
          </w:p>
        </w:tc>
        <w:tc>
          <w:tcPr>
            <w:tcW w:type="dxa" w:w="3321"/>
          </w:tcPr>
          <w:p>
            <w:r>
              <w:t>Example Clause Type</w:t>
            </w:r>
          </w:p>
        </w:tc>
      </w:tr>
      <w:tr>
        <w:tc>
          <w:tcPr>
            <w:tcW w:type="dxa" w:w="3321"/>
          </w:tcPr>
          <w:p>
            <w:r>
              <w:t>Critical</w:t>
            </w:r>
          </w:p>
        </w:tc>
        <w:tc>
          <w:tcPr>
            <w:tcW w:type="dxa" w:w="3321"/>
          </w:tcPr>
          <w:p>
            <w:r>
              <w:t>-25 points</w:t>
            </w:r>
          </w:p>
        </w:tc>
        <w:tc>
          <w:tcPr>
            <w:tcW w:type="dxa" w:w="3321"/>
          </w:tcPr>
          <w:p>
            <w:r>
              <w:t>Uncapped liability, waiving right to sue</w:t>
            </w:r>
          </w:p>
        </w:tc>
      </w:tr>
      <w:tr>
        <w:tc>
          <w:tcPr>
            <w:tcW w:type="dxa" w:w="3321"/>
          </w:tcPr>
          <w:p>
            <w:r>
              <w:t>High</w:t>
            </w:r>
          </w:p>
        </w:tc>
        <w:tc>
          <w:tcPr>
            <w:tcW w:type="dxa" w:w="3321"/>
          </w:tcPr>
          <w:p>
            <w:r>
              <w:t>-15 points</w:t>
            </w:r>
          </w:p>
        </w:tc>
        <w:tc>
          <w:tcPr>
            <w:tcW w:type="dxa" w:w="3321"/>
          </w:tcPr>
          <w:p>
            <w:r>
              <w:t>Auto-renewals without notice</w:t>
            </w:r>
          </w:p>
        </w:tc>
      </w:tr>
      <w:tr>
        <w:tc>
          <w:tcPr>
            <w:tcW w:type="dxa" w:w="3321"/>
          </w:tcPr>
          <w:p>
            <w:r>
              <w:t>Medium</w:t>
            </w:r>
          </w:p>
        </w:tc>
        <w:tc>
          <w:tcPr>
            <w:tcW w:type="dxa" w:w="3321"/>
          </w:tcPr>
          <w:p>
            <w:r>
              <w:t>-5 points</w:t>
            </w:r>
          </w:p>
        </w:tc>
        <w:tc>
          <w:tcPr>
            <w:tcW w:type="dxa" w:w="3321"/>
          </w:tcPr>
          <w:p>
            <w:r>
              <w:t>Vague termination conditions</w:t>
            </w:r>
          </w:p>
        </w:tc>
      </w:tr>
      <w:tr>
        <w:tc>
          <w:tcPr>
            <w:tcW w:type="dxa" w:w="3321"/>
          </w:tcPr>
          <w:p>
            <w:r>
              <w:t>Low</w:t>
            </w:r>
          </w:p>
        </w:tc>
        <w:tc>
          <w:tcPr>
            <w:tcW w:type="dxa" w:w="3321"/>
          </w:tcPr>
          <w:p>
            <w:r>
              <w:t>0 points</w:t>
            </w:r>
          </w:p>
        </w:tc>
        <w:tc>
          <w:tcPr>
            <w:tcW w:type="dxa" w:w="3321"/>
          </w:tcPr>
          <w:p>
            <w:r>
              <w:t>Standard boilerplate text</w:t>
            </w:r>
          </w:p>
        </w:tc>
      </w:tr>
    </w:tbl>
    <w:p>
      <w:pPr>
        <w:pStyle w:val="IEEE_Body"/>
      </w:pPr>
    </w:p>
    <w:p>
      <w:pPr>
        <w:pStyle w:val="IEEE_Body"/>
      </w:pPr>
      <w:r>
        <w:t>The final score is calculated as max(0, 100 - total_deductions). If a document has two critical risks and one high risk, its score would drop to 35, triggering a red warning on the dashboard. The system also suggests safer alternatives, rephrasing the bad clauses into fairer terms.</w:t>
      </w:r>
    </w:p>
    <w:p>
      <w:pPr>
        <w:pStyle w:val="IEEE_Heading_2"/>
      </w:pPr>
      <w:r>
        <w:t>F. Named Entity Extraction</w:t>
      </w:r>
    </w:p>
    <w:p>
      <w:pPr>
        <w:pStyle w:val="IEEE_Body_No_Indent"/>
      </w:pPr>
      <w:r>
        <w:t>To give the user a quick overview, we also run an extraction pass over the text to pull out named entities. We look for the parties involved, effective dates, monetary amounts, and the legal jurisdiction (e.g., which state's laws apply). We structured the prompt to return this data in JSON format so our frontend can easily render it in a clean table.</w:t>
      </w:r>
    </w:p>
    <w:p>
      <w:pPr>
        <w:pStyle w:val="IEEE_Heading_1"/>
      </w:pPr>
      <w:r>
        <w:t>V. IMPLEMENTATION</w:t>
      </w:r>
    </w:p>
    <w:p>
      <w:pPr>
        <w:pStyle w:val="IEEE_Heading_2"/>
      </w:pPr>
      <w:r>
        <w:t>A. Backend Implementation</w:t>
      </w:r>
    </w:p>
    <w:p>
      <w:pPr>
        <w:pStyle w:val="IEEE_Body_No_Indent"/>
      </w:pPr>
      <w:r>
        <w:t>We built the backend API to be stateless where possible, relying on the document IDs to track context. FastAPI makes it easy to define inputs and outputs using Pydantic models, which gives us automatic data validation. The server exposes several endpoints that correspond to the different features of the app. We summarized the main routes in Table III.</w:t>
      </w:r>
    </w:p>
    <w:p>
      <w:pPr>
        <w:pStyle w:val="IEEE_Table_Title"/>
      </w:pPr>
      <w:r>
        <w:t>TABLE III. API ENDPOINTS</w:t>
      </w:r>
    </w:p>
    <w:tbl>
      <w:tblPr>
        <w:tblStyle w:val="TableGrid"/>
        <w:tblW w:type="auto" w:w="0"/>
        <w:tblLook w:firstColumn="1" w:firstRow="1" w:lastColumn="0" w:lastRow="0" w:noHBand="0" w:noVBand="1" w:val="04A0"/>
      </w:tblPr>
      <w:tblGrid>
        <w:gridCol w:w="3321"/>
        <w:gridCol w:w="3321"/>
        <w:gridCol w:w="3321"/>
      </w:tblGrid>
      <w:tr>
        <w:tc>
          <w:tcPr>
            <w:tcW w:type="dxa" w:w="3321"/>
          </w:tcPr>
          <w:p>
            <w:r>
              <w:t>Method</w:t>
            </w:r>
          </w:p>
        </w:tc>
        <w:tc>
          <w:tcPr>
            <w:tcW w:type="dxa" w:w="3321"/>
          </w:tcPr>
          <w:p>
            <w:r>
              <w:t>Route</w:t>
            </w:r>
          </w:p>
        </w:tc>
        <w:tc>
          <w:tcPr>
            <w:tcW w:type="dxa" w:w="3321"/>
          </w:tcPr>
          <w:p>
            <w:r>
              <w:t>Functionality</w:t>
            </w:r>
          </w:p>
        </w:tc>
      </w:tr>
      <w:tr>
        <w:tc>
          <w:tcPr>
            <w:tcW w:type="dxa" w:w="3321"/>
          </w:tcPr>
          <w:p>
            <w:r>
              <w:t>POST</w:t>
            </w:r>
          </w:p>
        </w:tc>
        <w:tc>
          <w:tcPr>
            <w:tcW w:type="dxa" w:w="3321"/>
          </w:tcPr>
          <w:p>
            <w:r>
              <w:t>/api/upload</w:t>
            </w:r>
          </w:p>
        </w:tc>
        <w:tc>
          <w:tcPr>
            <w:tcW w:type="dxa" w:w="3321"/>
          </w:tcPr>
          <w:p>
            <w:r>
              <w:t>Parses file, chunks text, and embeds into ChromaDB</w:t>
            </w:r>
          </w:p>
        </w:tc>
      </w:tr>
      <w:tr>
        <w:tc>
          <w:tcPr>
            <w:tcW w:type="dxa" w:w="3321"/>
          </w:tcPr>
          <w:p>
            <w:r>
              <w:t>POST</w:t>
            </w:r>
          </w:p>
        </w:tc>
        <w:tc>
          <w:tcPr>
            <w:tcW w:type="dxa" w:w="3321"/>
          </w:tcPr>
          <w:p>
            <w:r>
              <w:t>/api/summary</w:t>
            </w:r>
          </w:p>
        </w:tc>
        <w:tc>
          <w:tcPr>
            <w:tcW w:type="dxa" w:w="3321"/>
          </w:tcPr>
          <w:p>
            <w:r>
              <w:t>Generates 2-3 sentence plain-English overview</w:t>
            </w:r>
          </w:p>
        </w:tc>
      </w:tr>
      <w:tr>
        <w:tc>
          <w:tcPr>
            <w:tcW w:type="dxa" w:w="3321"/>
          </w:tcPr>
          <w:p>
            <w:r>
              <w:t>POST</w:t>
            </w:r>
          </w:p>
        </w:tc>
        <w:tc>
          <w:tcPr>
            <w:tcW w:type="dxa" w:w="3321"/>
          </w:tcPr>
          <w:p>
            <w:r>
              <w:t>/api/entities</w:t>
            </w:r>
          </w:p>
        </w:tc>
        <w:tc>
          <w:tcPr>
            <w:tcW w:type="dxa" w:w="3321"/>
          </w:tcPr>
          <w:p>
            <w:r>
              <w:t>Extracts parties, dates, and jurisdiction as JSON</w:t>
            </w:r>
          </w:p>
        </w:tc>
      </w:tr>
      <w:tr>
        <w:tc>
          <w:tcPr>
            <w:tcW w:type="dxa" w:w="3321"/>
          </w:tcPr>
          <w:p>
            <w:r>
              <w:t>POST</w:t>
            </w:r>
          </w:p>
        </w:tc>
        <w:tc>
          <w:tcPr>
            <w:tcW w:type="dxa" w:w="3321"/>
          </w:tcPr>
          <w:p>
            <w:r>
              <w:t>/api/query</w:t>
            </w:r>
          </w:p>
        </w:tc>
        <w:tc>
          <w:tcPr>
            <w:tcW w:type="dxa" w:w="3321"/>
          </w:tcPr>
          <w:p>
            <w:r>
              <w:t>Runs RAG pipeline to answer user questions</w:t>
            </w:r>
          </w:p>
        </w:tc>
      </w:tr>
      <w:tr>
        <w:tc>
          <w:tcPr>
            <w:tcW w:type="dxa" w:w="3321"/>
          </w:tcPr>
          <w:p>
            <w:r>
              <w:t>POST</w:t>
            </w:r>
          </w:p>
        </w:tc>
        <w:tc>
          <w:tcPr>
            <w:tcW w:type="dxa" w:w="3321"/>
          </w:tcPr>
          <w:p>
            <w:r>
              <w:t>/api/score</w:t>
            </w:r>
          </w:p>
        </w:tc>
        <w:tc>
          <w:tcPr>
            <w:tcW w:type="dxa" w:w="3321"/>
          </w:tcPr>
          <w:p>
            <w:r>
              <w:t>Detects risky clauses and computes final safety score</w:t>
            </w:r>
          </w:p>
        </w:tc>
      </w:tr>
      <w:tr>
        <w:tc>
          <w:tcPr>
            <w:tcW w:type="dxa" w:w="3321"/>
          </w:tcPr>
          <w:p>
            <w:r>
              <w:t>GET</w:t>
            </w:r>
          </w:p>
        </w:tc>
        <w:tc>
          <w:tcPr>
            <w:tcW w:type="dxa" w:w="3321"/>
          </w:tcPr>
          <w:p>
            <w:r>
              <w:t>/</w:t>
            </w:r>
          </w:p>
        </w:tc>
        <w:tc>
          <w:tcPr>
            <w:tcW w:type="dxa" w:w="3321"/>
          </w:tcPr>
          <w:p>
            <w:r>
              <w:t>Basic health check for the server</w:t>
            </w:r>
          </w:p>
        </w:tc>
      </w:tr>
    </w:tbl>
    <w:p>
      <w:pPr>
        <w:pStyle w:val="IEEE_Body"/>
      </w:pPr>
    </w:p>
    <w:p>
      <w:pPr>
        <w:pStyle w:val="IEEE_Heading_2"/>
      </w:pPr>
      <w:r>
        <w:t>B. Frontend Implementation</w:t>
      </w:r>
    </w:p>
    <w:p>
      <w:pPr>
        <w:pStyle w:val="IEEE_Body_No_Indent"/>
      </w:pPr>
      <w:r>
        <w:t>The frontend is where the user actually experiences the product. We used Next.js for routing and React state to manage the document processing steps. When a file is uploaded, we show a progress bar as the different APIs are called. We persist the analysis history in the browser's local storage so users don't lose their reports if they refresh the page.</w:t>
      </w:r>
    </w:p>
    <w:p>
      <w:pPr>
        <w:pStyle w:val="IEEE_Body"/>
      </w:pPr>
      <w:r>
        <w:t>The full report page at /report/[doc_id] includes bar charts showing the distribution of risk levels and tables listing every clause we found. Users can click an export button to generate a clean PDF of the results. We used jsPDF to handle the client-side document generation, grabbing the HTML elements and drawing them onto a canvas.</w:t>
      </w:r>
    </w:p>
    <w:p>
      <w:pPr>
        <w:pStyle w:val="IEEE_Heading_2"/>
      </w:pPr>
      <w:r>
        <w:t>C. AI Integration</w:t>
      </w:r>
    </w:p>
    <w:p>
      <w:pPr>
        <w:pStyle w:val="IEEE_Body_No_Indent"/>
      </w:pPr>
      <w:r>
        <w:t>Working with external AI APIs can sometimes be unreliable. Network requests might timeout, or a model might be temporarily overloaded. We programmed a fallback mechanism in our FastAPI controllers. If a request to gemini-2.5-flash fails or takes longer than 10 seconds, the system catches the exception and immediately retries the prompt using the older but stable gemini-2.0-flash model. This keeps the application feeling robust to the end user.</w:t>
      </w:r>
    </w:p>
    <w:p>
      <w:pPr>
        <w:pStyle w:val="IEEE_Heading_1"/>
      </w:pPr>
      <w:r>
        <w:t>VI. RESULTS AND EVALUATION</w:t>
      </w:r>
    </w:p>
    <w:p>
      <w:pPr>
        <w:pStyle w:val="IEEE_Body_No_Indent"/>
      </w:pPr>
      <w:r>
        <w:t>We tested JURY-AI using a set of 20 sample contracts, ranging from simple non-disclosure agreements (NDAs) to complex commercial leases. We measured how long each part of the pipeline took to execute and how accurately the system flagged risky clauses.</w:t>
      </w:r>
    </w:p>
    <w:p>
      <w:pPr>
        <w:pStyle w:val="IEEE_Table_Title"/>
      </w:pPr>
      <w:r>
        <w:t>TABLE IV. PERFORMANCE METRICS</w:t>
      </w:r>
    </w:p>
    <w:tbl>
      <w:tblPr>
        <w:tblStyle w:val="TableGrid"/>
        <w:tblW w:type="auto" w:w="0"/>
        <w:tblLook w:firstColumn="1" w:firstRow="1" w:lastColumn="0" w:lastRow="0" w:noHBand="0" w:noVBand="1" w:val="04A0"/>
      </w:tblPr>
      <w:tblGrid>
        <w:gridCol w:w="3321"/>
        <w:gridCol w:w="3321"/>
        <w:gridCol w:w="3321"/>
      </w:tblGrid>
      <w:tr>
        <w:tc>
          <w:tcPr>
            <w:tcW w:type="dxa" w:w="3321"/>
          </w:tcPr>
          <w:p>
            <w:r>
              <w:t>Operation</w:t>
            </w:r>
          </w:p>
        </w:tc>
        <w:tc>
          <w:tcPr>
            <w:tcW w:type="dxa" w:w="3321"/>
          </w:tcPr>
          <w:p>
            <w:r>
              <w:t>Avg. Time (ms)</w:t>
            </w:r>
          </w:p>
        </w:tc>
        <w:tc>
          <w:tcPr>
            <w:tcW w:type="dxa" w:w="3321"/>
          </w:tcPr>
          <w:p>
            <w:r>
              <w:t>Notes</w:t>
            </w:r>
          </w:p>
        </w:tc>
      </w:tr>
      <w:tr>
        <w:tc>
          <w:tcPr>
            <w:tcW w:type="dxa" w:w="3321"/>
          </w:tcPr>
          <w:p>
            <w:r>
              <w:t>File Parsing &amp; Chunking</w:t>
            </w:r>
          </w:p>
        </w:tc>
        <w:tc>
          <w:tcPr>
            <w:tcW w:type="dxa" w:w="3321"/>
          </w:tcPr>
          <w:p>
            <w:r>
              <w:t>340</w:t>
            </w:r>
          </w:p>
        </w:tc>
        <w:tc>
          <w:tcPr>
            <w:tcW w:type="dxa" w:w="3321"/>
          </w:tcPr>
          <w:p>
            <w:r>
              <w:t>Based on a standard 5-page PDF</w:t>
            </w:r>
          </w:p>
        </w:tc>
      </w:tr>
      <w:tr>
        <w:tc>
          <w:tcPr>
            <w:tcW w:type="dxa" w:w="3321"/>
          </w:tcPr>
          <w:p>
            <w:r>
              <w:t>Embedding Generation</w:t>
            </w:r>
          </w:p>
        </w:tc>
        <w:tc>
          <w:tcPr>
            <w:tcW w:type="dxa" w:w="3321"/>
          </w:tcPr>
          <w:p>
            <w:r>
              <w:t>850</w:t>
            </w:r>
          </w:p>
        </w:tc>
        <w:tc>
          <w:tcPr>
            <w:tcW w:type="dxa" w:w="3321"/>
          </w:tcPr>
          <w:p>
            <w:r>
              <w:t>Batch processing 15 chunks</w:t>
            </w:r>
          </w:p>
        </w:tc>
      </w:tr>
      <w:tr>
        <w:tc>
          <w:tcPr>
            <w:tcW w:type="dxa" w:w="3321"/>
          </w:tcPr>
          <w:p>
            <w:r>
              <w:t>Summary Generation</w:t>
            </w:r>
          </w:p>
        </w:tc>
        <w:tc>
          <w:tcPr>
            <w:tcW w:type="dxa" w:w="3321"/>
          </w:tcPr>
          <w:p>
            <w:r>
              <w:t>1200</w:t>
            </w:r>
          </w:p>
        </w:tc>
        <w:tc>
          <w:tcPr>
            <w:tcW w:type="dxa" w:w="3321"/>
          </w:tcPr>
          <w:p>
            <w:r>
              <w:t>Gemini 2.5-flash response time</w:t>
            </w:r>
          </w:p>
        </w:tc>
      </w:tr>
      <w:tr>
        <w:tc>
          <w:tcPr>
            <w:tcW w:type="dxa" w:w="3321"/>
          </w:tcPr>
          <w:p>
            <w:r>
              <w:t>Risk Scoring</w:t>
            </w:r>
          </w:p>
        </w:tc>
        <w:tc>
          <w:tcPr>
            <w:tcW w:type="dxa" w:w="3321"/>
          </w:tcPr>
          <w:p>
            <w:r>
              <w:t>1450</w:t>
            </w:r>
          </w:p>
        </w:tc>
        <w:tc>
          <w:tcPr>
            <w:tcW w:type="dxa" w:w="3321"/>
          </w:tcPr>
          <w:p>
            <w:r>
              <w:t>Includes regex checks and AI validation</w:t>
            </w:r>
          </w:p>
        </w:tc>
      </w:tr>
      <w:tr>
        <w:tc>
          <w:tcPr>
            <w:tcW w:type="dxa" w:w="3321"/>
          </w:tcPr>
          <w:p>
            <w:r>
              <w:t>RAG Query Retrieval</w:t>
            </w:r>
          </w:p>
        </w:tc>
        <w:tc>
          <w:tcPr>
            <w:tcW w:type="dxa" w:w="3321"/>
          </w:tcPr>
          <w:p>
            <w:r>
              <w:t>120</w:t>
            </w:r>
          </w:p>
        </w:tc>
        <w:tc>
          <w:tcPr>
            <w:tcW w:type="dxa" w:w="3321"/>
          </w:tcPr>
          <w:p>
            <w:r>
              <w:t>ChromaDB local lookup</w:t>
            </w:r>
          </w:p>
        </w:tc>
      </w:tr>
      <w:tr>
        <w:tc>
          <w:tcPr>
            <w:tcW w:type="dxa" w:w="3321"/>
          </w:tcPr>
          <w:p>
            <w:r>
              <w:t>RAG Answer Generation</w:t>
            </w:r>
          </w:p>
        </w:tc>
        <w:tc>
          <w:tcPr>
            <w:tcW w:type="dxa" w:w="3321"/>
          </w:tcPr>
          <w:p>
            <w:r>
              <w:t>1100</w:t>
            </w:r>
          </w:p>
        </w:tc>
        <w:tc>
          <w:tcPr>
            <w:tcW w:type="dxa" w:w="3321"/>
          </w:tcPr>
          <w:p>
            <w:r>
              <w:t>Total time to return answer to user</w:t>
            </w:r>
          </w:p>
        </w:tc>
      </w:tr>
    </w:tbl>
    <w:p>
      <w:pPr>
        <w:pStyle w:val="IEEE_Body"/>
      </w:pPr>
    </w:p>
    <w:p>
      <w:pPr>
        <w:pStyle w:val="IEEE_Body"/>
      </w:pPr>
      <w:r>
        <w:t>Overall, a full document analysis from upload to the final report screen takes under 4 seconds on average. This feels very fast for the user. We also evaluated the accuracy of the risk scoring algorithm. We manually annotated 50 critical clauses across our test set. The platform successfully flagged 46 of them, resulting in a 92% detection rate. The four missed clauses were embedded deep within long, run-on sentences that our chunking strategy split awkwardly. This tells us we need to refine how we handle sentence boundaries.</w:t>
      </w:r>
    </w:p>
    <w:p>
      <w:pPr>
        <w:pStyle w:val="IEEE_Heading_1"/>
      </w:pPr>
      <w:r>
        <w:t>VII. DISCUSSION</w:t>
      </w:r>
    </w:p>
    <w:p>
      <w:pPr>
        <w:pStyle w:val="IEEE_Body_No_Indent"/>
      </w:pPr>
      <w:r>
        <w:t>Building this project taught us a lot about how to handle unstructured text. The RAG approach definitely works better than just prompting an LLM blindly. Our users reported that seeing the exact paragraph where the AI found the answer made them trust the system much more.</w:t>
      </w:r>
    </w:p>
    <w:p>
      <w:pPr>
        <w:pStyle w:val="IEEE_Table_Title"/>
      </w:pPr>
      <w:r>
        <w:t>TABLE V. COMPARISON WITH EXISTING LEGAL AI TOOLS</w:t>
      </w:r>
    </w:p>
    <w:tbl>
      <w:tblPr>
        <w:tblStyle w:val="TableGrid"/>
        <w:tblW w:type="auto" w:w="0"/>
        <w:tblLook w:firstColumn="1" w:firstRow="1" w:lastColumn="0" w:lastRow="0" w:noHBand="0" w:noVBand="1" w:val="04A0"/>
      </w:tblPr>
      <w:tblGrid>
        <w:gridCol w:w="2490"/>
        <w:gridCol w:w="2490"/>
        <w:gridCol w:w="2490"/>
        <w:gridCol w:w="2490"/>
      </w:tblGrid>
      <w:tr>
        <w:tc>
          <w:tcPr>
            <w:tcW w:type="dxa" w:w="2490"/>
          </w:tcPr>
          <w:p>
            <w:r>
              <w:t>Feature</w:t>
            </w:r>
          </w:p>
        </w:tc>
        <w:tc>
          <w:tcPr>
            <w:tcW w:type="dxa" w:w="2490"/>
          </w:tcPr>
          <w:p>
            <w:r>
              <w:t>LexNLP</w:t>
            </w:r>
          </w:p>
        </w:tc>
        <w:tc>
          <w:tcPr>
            <w:tcW w:type="dxa" w:w="2490"/>
          </w:tcPr>
          <w:p>
            <w:r>
              <w:t>DoNotPay</w:t>
            </w:r>
          </w:p>
        </w:tc>
        <w:tc>
          <w:tcPr>
            <w:tcW w:type="dxa" w:w="2490"/>
          </w:tcPr>
          <w:p>
            <w:r>
              <w:t>JURY-AI (Ours)</w:t>
            </w:r>
          </w:p>
        </w:tc>
      </w:tr>
      <w:tr>
        <w:tc>
          <w:tcPr>
            <w:tcW w:type="dxa" w:w="2490"/>
          </w:tcPr>
          <w:p>
            <w:r>
              <w:t>Target Audience</w:t>
            </w:r>
          </w:p>
        </w:tc>
        <w:tc>
          <w:tcPr>
            <w:tcW w:type="dxa" w:w="2490"/>
          </w:tcPr>
          <w:p>
            <w:r>
              <w:t>Developers</w:t>
            </w:r>
          </w:p>
        </w:tc>
        <w:tc>
          <w:tcPr>
            <w:tcW w:type="dxa" w:w="2490"/>
          </w:tcPr>
          <w:p>
            <w:r>
              <w:t>Consumers</w:t>
            </w:r>
          </w:p>
        </w:tc>
        <w:tc>
          <w:tcPr>
            <w:tcW w:type="dxa" w:w="2490"/>
          </w:tcPr>
          <w:p>
            <w:r>
              <w:t>Consumers &amp; SMBs</w:t>
            </w:r>
          </w:p>
        </w:tc>
      </w:tr>
      <w:tr>
        <w:tc>
          <w:tcPr>
            <w:tcW w:type="dxa" w:w="2490"/>
          </w:tcPr>
          <w:p>
            <w:r>
              <w:t>RAG Implementation</w:t>
            </w:r>
          </w:p>
        </w:tc>
        <w:tc>
          <w:tcPr>
            <w:tcW w:type="dxa" w:w="2490"/>
          </w:tcPr>
          <w:p>
            <w:r>
              <w:t>No</w:t>
            </w:r>
          </w:p>
        </w:tc>
        <w:tc>
          <w:tcPr>
            <w:tcW w:type="dxa" w:w="2490"/>
          </w:tcPr>
          <w:p>
            <w:r>
              <w:t>Partial</w:t>
            </w:r>
          </w:p>
        </w:tc>
        <w:tc>
          <w:tcPr>
            <w:tcW w:type="dxa" w:w="2490"/>
          </w:tcPr>
          <w:p>
            <w:r>
              <w:t>Yes (Local Vector DB)</w:t>
            </w:r>
          </w:p>
        </w:tc>
      </w:tr>
      <w:tr>
        <w:tc>
          <w:tcPr>
            <w:tcW w:type="dxa" w:w="2490"/>
          </w:tcPr>
          <w:p>
            <w:r>
              <w:t>Risk Scoring</w:t>
            </w:r>
          </w:p>
        </w:tc>
        <w:tc>
          <w:tcPr>
            <w:tcW w:type="dxa" w:w="2490"/>
          </w:tcPr>
          <w:p>
            <w:r>
              <w:t>Custom scripts required</w:t>
            </w:r>
          </w:p>
        </w:tc>
        <w:tc>
          <w:tcPr>
            <w:tcW w:type="dxa" w:w="2490"/>
          </w:tcPr>
          <w:p>
            <w:r>
              <w:t>N/A</w:t>
            </w:r>
          </w:p>
        </w:tc>
        <w:tc>
          <w:tcPr>
            <w:tcW w:type="dxa" w:w="2490"/>
          </w:tcPr>
          <w:p>
            <w:r>
              <w:t>Built-in 0-100 Gauge</w:t>
            </w:r>
          </w:p>
        </w:tc>
      </w:tr>
      <w:tr>
        <w:tc>
          <w:tcPr>
            <w:tcW w:type="dxa" w:w="2490"/>
          </w:tcPr>
          <w:p>
            <w:r>
              <w:t>UI/UX</w:t>
            </w:r>
          </w:p>
        </w:tc>
        <w:tc>
          <w:tcPr>
            <w:tcW w:type="dxa" w:w="2490"/>
          </w:tcPr>
          <w:p>
            <w:r>
              <w:t>None (API only)</w:t>
            </w:r>
          </w:p>
        </w:tc>
        <w:tc>
          <w:tcPr>
            <w:tcW w:type="dxa" w:w="2490"/>
          </w:tcPr>
          <w:p>
            <w:r>
              <w:t>Chatbot UI</w:t>
            </w:r>
          </w:p>
        </w:tc>
        <w:tc>
          <w:tcPr>
            <w:tcW w:type="dxa" w:w="2490"/>
          </w:tcPr>
          <w:p>
            <w:r>
              <w:t>Full Dashboard &amp; PDF Export</w:t>
            </w:r>
          </w:p>
        </w:tc>
      </w:tr>
    </w:tbl>
    <w:p>
      <w:pPr>
        <w:pStyle w:val="IEEE_Body"/>
      </w:pPr>
    </w:p>
    <w:p>
      <w:pPr>
        <w:pStyle w:val="IEEE_Body"/>
      </w:pPr>
      <w:r>
        <w:t>Table V compares our system with a few existing alternatives. While JURY-AI is currently limited to English text and relatively small documents (under 50 pages), it fills a nice gap by offering a complete dashboard experience without requiring a steep learning curve or expensive subscription.</w:t>
      </w:r>
    </w:p>
    <w:p>
      <w:pPr>
        <w:pStyle w:val="IEEE_Heading_1"/>
      </w:pPr>
      <w:r>
        <w:t>VIII. CONCLUSION AND FUTURE WORK</w:t>
      </w:r>
    </w:p>
    <w:p>
      <w:pPr>
        <w:pStyle w:val="IEEE_Body_No_Indent"/>
      </w:pPr>
      <w:r>
        <w:t>In this paper, we described the design and implementation of JURY-AI, a web platform that simplifies legal documents. By combining Next.js, FastAPI, ChromaDB, and Google's Gemini models, we built a tool that provides quick summaries, risk scores, and an interactive Q&amp;A interface for standard contracts. Our tests show the system is both fast and reasonably accurate at identifying unfair clauses.</w:t>
      </w:r>
    </w:p>
    <w:p>
      <w:pPr>
        <w:pStyle w:val="IEEE_Body"/>
      </w:pPr>
      <w:r>
        <w:t>Moving forward, we plan to add support for multiple languages so people can analyze contracts from different countries. We also want to experiment with fine-tuning an open-source model locally, which would remove our dependency on external APIs and improve data privacy. Finally, adding collaborative features where multiple users can comment on a contract together would make it even more useful for small businesses.</w:t>
      </w:r>
    </w:p>
    <w:p>
      <w:pPr>
        <w:pStyle w:val="IEEE_Heading_1"/>
      </w:pPr>
      <w:r>
        <w:t>ACKNOWLEDGMENT</w:t>
      </w:r>
    </w:p>
    <w:p>
      <w:pPr>
        <w:pStyle w:val="IEEE_Body_No_Indent"/>
      </w:pPr>
      <w:r>
        <w:t>We would like to thank our project guide, Ms. Vijaylaxmi Inamdar, for her continuous support and feedback during this project. We also thank the Department of Computer Science and Engineering at DSATM for providing the necessary resources to develop and test this platform.</w:t>
      </w:r>
    </w:p>
    <w:p>
      <w:pPr>
        <w:pStyle w:val="IEEE_Heading_1"/>
      </w:pPr>
      <w:r>
        <w:t>REFERENCES</w:t>
      </w:r>
    </w:p>
    <w:p>
      <w:pPr>
        <w:pStyle w:val="IEEE_References"/>
      </w:pPr>
      <w:r>
        <w:t>[1] A. Vaswani et al., "Attention is all you need," in Advances in Neural Information Processing Systems, 2017, pp. 5998-6008.</w:t>
      </w:r>
    </w:p>
    <w:p>
      <w:pPr>
        <w:pStyle w:val="IEEE_References"/>
      </w:pPr>
      <w:r>
        <w:t>[2] P. Lewis et al., "Retrieval-augmented generation for knowledge-intensive NLP tasks," in Advances in Neural Information Processing Systems, vol. 33, pp. 9459-9474, 2020.</w:t>
      </w:r>
    </w:p>
    <w:p>
      <w:pPr>
        <w:pStyle w:val="IEEE_References"/>
      </w:pPr>
      <w:r>
        <w:t>[3] D. Katz, M. Bommarito, and S. Blackman, "LexNLP: Natural language processing and information extraction for legal and regulatory texts," arXiv preprint arXiv:1806.03688, 2018.</w:t>
      </w:r>
    </w:p>
    <w:p>
      <w:pPr>
        <w:pStyle w:val="IEEE_References"/>
      </w:pPr>
      <w:r>
        <w:t>[4] J. Devlin, M. Chang, K. Lee, and K. Toutanova, "BERT: Pre-training of deep bidirectional transformers for language understanding," arXiv preprint arXiv:1810.04805, 2018.</w:t>
      </w:r>
    </w:p>
    <w:p>
      <w:pPr>
        <w:pStyle w:val="IEEE_References"/>
      </w:pPr>
      <w:r>
        <w:t>[5] Google, "Gemini: A family of highly capable multimodal models," Tech. Rep., 2023.</w:t>
      </w:r>
    </w:p>
    <w:p>
      <w:pPr>
        <w:pStyle w:val="IEEE_References"/>
      </w:pPr>
      <w:r>
        <w:t>[6] S. Ramirez, "FastAPI: Modern Python web framework," [Online]. Available: https://fastapi.tiangolo.com/. Accessed: Aug. 10, 2026.</w:t>
      </w:r>
    </w:p>
    <w:p>
      <w:pPr>
        <w:pStyle w:val="IEEE_References"/>
      </w:pPr>
      <w:r>
        <w:t>[7] Vercel, "Next.js by Vercel - The React Framework," [Online]. Available: https://nextjs.org/. Accessed: Aug. 10, 2026.</w:t>
      </w:r>
    </w:p>
    <w:p>
      <w:pPr>
        <w:pStyle w:val="IEEE_References"/>
      </w:pPr>
      <w:r>
        <w:t>[8] Chroma, "Chroma: The open-source embedding database," [Online]. Available: https://www.trychroma.com/. Accessed: Aug. 10, 2026.</w:t>
      </w:r>
    </w:p>
    <w:p>
      <w:pPr>
        <w:pStyle w:val="IEEE_References"/>
      </w:pPr>
      <w:r>
        <w:t>[9] L. Floridi and M. Chiriatti, "GPT-3: Its nature, scope, limits, and consequences," Minds and Machines, vol. 30, no. 4, pp. 681-694, 2020.</w:t>
      </w:r>
    </w:p>
    <w:p>
      <w:pPr>
        <w:pStyle w:val="IEEE_References"/>
      </w:pPr>
      <w:r>
        <w:t>[10] Artifex Software, "PyMuPDF Documentation," [Online]. Available: https://pymupdf.readthedocs.io/. Accessed: Aug. 10, 2026.</w:t>
      </w:r>
    </w:p>
    <w:p>
      <w:pPr>
        <w:pStyle w:val="IEEE_References"/>
      </w:pPr>
      <w:r>
        <w:t>[11] T. Mikolov, K. Chen, G. Corrado, and J. Dean, "Efficient estimation of word representations in vector space," arXiv preprint arXiv:1301.3781, 2013.</w:t>
      </w:r>
    </w:p>
    <w:p>
      <w:pPr>
        <w:pStyle w:val="IEEE_References"/>
      </w:pPr>
      <w:r>
        <w:t>[12] J. Hendrycks et al., "CUAD: An expert-annotated NLP dataset for legal contract review," arXiv preprint arXiv:2103.06268, 2021.</w:t>
      </w:r>
    </w:p>
    <w:p>
      <w:pPr>
        <w:pStyle w:val="IEEE_References"/>
      </w:pPr>
      <w:r>
        <w:t>[13] F. Nothman, H. Qin, and R. Yurchak, "Stop word lists in free open-source software packages," in Proc. 12th Workshop on Building and Using Comparable Corpora, 2019, pp. 7-12.</w:t>
      </w:r>
    </w:p>
    <w:p>
      <w:pPr>
        <w:pStyle w:val="IEEE_References"/>
      </w:pPr>
      <w:r>
        <w:t>[14] M. Joshi, E. Choi, D. Weld, and L. Zettlemoyer, "Spaniards, elves, and vectors: Semantic evaluation of word embeddings in context," in Proc. 58th Annual Meeting of the Association for Computational Linguistics, 2020.</w:t>
      </w:r>
    </w:p>
    <w:p>
      <w:pPr>
        <w:pStyle w:val="IEEE_References"/>
      </w:pPr>
      <w:r>
        <w:t>[15] Tailwind Labs, "Tailwind CSS - Rapidly build modern websites," [Online]. Available: https://tailwindcss.com/. Accessed: Aug. 10, 2026.</w:t>
      </w:r>
    </w:p>
    <w:sectPr w:rsidR="00FC693F" w:rsidRPr="0006063C" w:rsidSect="00034616">
      <w:pgSz w:w="11906" w:h="16838"/>
      <w:pgMar w:top="1080" w:right="972" w:bottom="1440" w:left="9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_Title">
    <w:name w:val="IEEE_Title"/>
    <w:pPr>
      <w:spacing w:after="240" w:before="0" w:line="240" w:lineRule="auto"/>
      <w:jc w:val="center"/>
    </w:pPr>
    <w:rPr>
      <w:rFonts w:ascii="Times New Roman" w:hAnsi="Times New Roman"/>
      <w:b/>
      <w:i w:val="0"/>
      <w:caps w:val="0"/>
      <w:color w:val="000000"/>
      <w:sz w:val="48"/>
    </w:rPr>
  </w:style>
  <w:style w:type="paragraph" w:customStyle="1" w:styleId="IEEE_Authors">
    <w:name w:val="IEEE_Authors"/>
    <w:pPr>
      <w:spacing w:after="40" w:before="0" w:line="240" w:lineRule="auto"/>
      <w:jc w:val="center"/>
    </w:pPr>
    <w:rPr>
      <w:rFonts w:ascii="Times New Roman" w:hAnsi="Times New Roman"/>
      <w:b/>
      <w:i w:val="0"/>
      <w:caps w:val="0"/>
      <w:color w:val="000000"/>
      <w:sz w:val="22"/>
    </w:rPr>
  </w:style>
  <w:style w:type="paragraph" w:customStyle="1" w:styleId="IEEE_Affiliation">
    <w:name w:val="IEEE_Affiliation"/>
    <w:pPr>
      <w:spacing w:after="240" w:before="0" w:line="240" w:lineRule="auto"/>
      <w:jc w:val="center"/>
    </w:pPr>
    <w:rPr>
      <w:rFonts w:ascii="Times New Roman" w:hAnsi="Times New Roman"/>
      <w:b w:val="0"/>
      <w:i/>
      <w:caps w:val="0"/>
      <w:color w:val="000000"/>
      <w:sz w:val="20"/>
    </w:rPr>
  </w:style>
  <w:style w:type="paragraph" w:customStyle="1" w:styleId="IEEE_Abstract_Heading">
    <w:name w:val="IEEE_Abstract_Heading"/>
    <w:pPr>
      <w:spacing w:after="40" w:before="0" w:line="240" w:lineRule="auto"/>
      <w:jc w:val="left"/>
    </w:pPr>
    <w:rPr>
      <w:rFonts w:ascii="Times New Roman" w:hAnsi="Times New Roman"/>
      <w:b/>
      <w:i/>
      <w:caps w:val="0"/>
      <w:color w:val="000000"/>
      <w:sz w:val="18"/>
    </w:rPr>
  </w:style>
  <w:style w:type="paragraph" w:customStyle="1" w:styleId="IEEE_Abstract">
    <w:name w:val="IEEE_Abstract"/>
    <w:pPr>
      <w:spacing w:after="240" w:before="0" w:line="240" w:lineRule="auto"/>
      <w:jc w:val="both"/>
    </w:pPr>
    <w:rPr>
      <w:rFonts w:ascii="Times New Roman" w:hAnsi="Times New Roman"/>
      <w:b w:val="0"/>
      <w:i/>
      <w:caps w:val="0"/>
      <w:color w:val="000000"/>
      <w:sz w:val="18"/>
    </w:rPr>
  </w:style>
  <w:style w:type="paragraph" w:customStyle="1" w:styleId="IEEE_Keywords_Heading">
    <w:name w:val="IEEE_Keywords_Heading"/>
    <w:pPr>
      <w:spacing w:after="40" w:before="0" w:line="240" w:lineRule="auto"/>
      <w:jc w:val="left"/>
    </w:pPr>
    <w:rPr>
      <w:rFonts w:ascii="Times New Roman" w:hAnsi="Times New Roman"/>
      <w:b/>
      <w:i/>
      <w:caps w:val="0"/>
      <w:color w:val="000000"/>
      <w:sz w:val="18"/>
    </w:rPr>
  </w:style>
  <w:style w:type="paragraph" w:customStyle="1" w:styleId="IEEE_Keywords">
    <w:name w:val="IEEE_Keywords"/>
    <w:pPr>
      <w:spacing w:after="240" w:before="0" w:line="240" w:lineRule="auto"/>
      <w:jc w:val="left"/>
    </w:pPr>
    <w:rPr>
      <w:rFonts w:ascii="Times New Roman" w:hAnsi="Times New Roman"/>
      <w:b w:val="0"/>
      <w:i/>
      <w:caps w:val="0"/>
      <w:color w:val="000000"/>
      <w:sz w:val="18"/>
    </w:rPr>
  </w:style>
  <w:style w:type="paragraph" w:customStyle="1" w:styleId="IEEE_Heading_1">
    <w:name w:val="IEEE_Heading_1"/>
    <w:pPr>
      <w:spacing w:after="120" w:before="0" w:line="240" w:lineRule="auto"/>
      <w:jc w:val="center"/>
    </w:pPr>
    <w:rPr>
      <w:rFonts w:ascii="Times New Roman" w:hAnsi="Times New Roman"/>
      <w:b/>
      <w:i w:val="0"/>
      <w:caps/>
      <w:color w:val="000000"/>
      <w:sz w:val="20"/>
    </w:rPr>
  </w:style>
  <w:style w:type="paragraph" w:customStyle="1" w:styleId="IEEE_Heading_2">
    <w:name w:val="IEEE_Heading_2"/>
    <w:pPr>
      <w:spacing w:after="80" w:before="0" w:line="240" w:lineRule="auto"/>
      <w:jc w:val="left"/>
    </w:pPr>
    <w:rPr>
      <w:rFonts w:ascii="Times New Roman" w:hAnsi="Times New Roman"/>
      <w:b w:val="0"/>
      <w:i/>
      <w:caps w:val="0"/>
      <w:color w:val="000000"/>
      <w:sz w:val="20"/>
    </w:rPr>
  </w:style>
  <w:style w:type="paragraph" w:customStyle="1" w:styleId="IEEE_Body">
    <w:name w:val="IEEE_Body"/>
    <w:pPr>
      <w:spacing w:after="120" w:before="0" w:line="240" w:lineRule="auto"/>
      <w:ind w:firstLine="198"/>
      <w:jc w:val="both"/>
    </w:pPr>
    <w:rPr>
      <w:rFonts w:ascii="Times New Roman" w:hAnsi="Times New Roman"/>
      <w:b w:val="0"/>
      <w:i w:val="0"/>
      <w:caps w:val="0"/>
      <w:color w:val="000000"/>
      <w:sz w:val="20"/>
    </w:rPr>
  </w:style>
  <w:style w:type="paragraph" w:customStyle="1" w:styleId="IEEE_Body_No_Indent">
    <w:name w:val="IEEE_Body_No_Indent"/>
    <w:pPr>
      <w:spacing w:after="120" w:before="0" w:line="240" w:lineRule="auto"/>
      <w:jc w:val="both"/>
    </w:pPr>
    <w:rPr>
      <w:rFonts w:ascii="Times New Roman" w:hAnsi="Times New Roman"/>
      <w:b w:val="0"/>
      <w:i w:val="0"/>
      <w:caps w:val="0"/>
      <w:color w:val="000000"/>
      <w:sz w:val="20"/>
    </w:rPr>
  </w:style>
  <w:style w:type="paragraph" w:customStyle="1" w:styleId="IEEE_References">
    <w:name w:val="IEEE_References"/>
    <w:pPr>
      <w:spacing w:after="80" w:before="0" w:line="240" w:lineRule="auto"/>
      <w:jc w:val="left"/>
    </w:pPr>
    <w:rPr>
      <w:rFonts w:ascii="Times New Roman" w:hAnsi="Times New Roman"/>
      <w:b w:val="0"/>
      <w:i w:val="0"/>
      <w:caps w:val="0"/>
      <w:color w:val="000000"/>
      <w:sz w:val="16"/>
    </w:rPr>
  </w:style>
  <w:style w:type="paragraph" w:customStyle="1" w:styleId="IEEE_Table_Title">
    <w:name w:val="IEEE_Table_Title"/>
    <w:pPr>
      <w:spacing w:after="80" w:before="0" w:line="240" w:lineRule="auto"/>
      <w:jc w:val="center"/>
    </w:pPr>
    <w:rPr>
      <w:rFonts w:ascii="Times New Roman" w:hAnsi="Times New Roman"/>
      <w:b/>
      <w:i w:val="0"/>
      <w:caps/>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