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DrinksHarbour Advertising Funding Plan</w:t>
      </w:r>
    </w:p>
    <w:p>
      <w:r>
        <w:rPr>
          <w:b/>
          <w:sz w:val="18"/>
        </w:rPr>
        <w:t>DRAFT FOR NEGOTIATION AND LEGAL REVIEW</w:t>
      </w:r>
    </w:p>
    <w:p>
      <w:r>
        <w:t>Use a staged non-convertible Company loan to fund customer acquisition while preserving ownership. The lender receives repayment and negotiated interest, with no shares, conversion rights or warrants. This plan supports the separate Advertising Loan Agreement; it is not a funding commitment or an assurance that advertising will work.</w:t>
      </w:r>
    </w:p>
    <w:p>
      <w:pPr>
        <w:pStyle w:val="Heading1"/>
      </w:pPr>
      <w:r>
        <w:t>Proposed funding terms</w:t>
      </w:r>
    </w:p>
    <w:tbl>
      <w:tblPr>
        <w:tblW w:type="auto" w:w="0"/>
        <w:jc w:val="center"/>
        <w:tblLayout w:type="fixed"/>
        <w:tblLook w:firstColumn="1" w:firstRow="1" w:lastColumn="0" w:lastRow="0" w:noHBand="0" w:noVBand="1" w:val="04A0"/>
      </w:tblPr>
      <w:tblGrid>
        <w:gridCol w:w="3024"/>
        <w:gridCol w:w="6581"/>
      </w:tblGrid>
      <w:tr>
        <w:trPr>
          <w:tblHeader/>
        </w:trPr>
        <w:tc>
          <w:tcPr>
            <w:tcW w:type="dxa" w:w="3024"/>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shd w:fill="E8E8E8"/>
          </w:tcPr>
          <w:p>
            <w:pPr>
              <w:spacing w:after="40" w:before="40"/>
              <w:jc w:val="left"/>
            </w:pPr>
            <w:r>
              <w:rPr>
                <w:b/>
                <w:sz w:val="18"/>
              </w:rPr>
              <w:t>Term</w:t>
            </w:r>
          </w:p>
        </w:tc>
        <w:tc>
          <w:tcPr>
            <w:tcW w:type="dxa" w:w="6581"/>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shd w:fill="E8E8E8"/>
          </w:tcPr>
          <w:p>
            <w:pPr>
              <w:spacing w:after="40" w:before="40"/>
              <w:jc w:val="left"/>
            </w:pPr>
            <w:r>
              <w:rPr>
                <w:b/>
                <w:sz w:val="18"/>
              </w:rPr>
              <w:t>Proposal</w:t>
            </w:r>
          </w:p>
        </w:tc>
      </w:tr>
      <w:tr>
        <w:tc>
          <w:tcPr>
            <w:tcW w:type="dxa" w:w="3024"/>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40" w:before="40"/>
              <w:jc w:val="left"/>
            </w:pPr>
            <w:r>
              <w:rPr>
                <w:b w:val="0"/>
                <w:sz w:val="18"/>
              </w:rPr>
              <w:t>Maximum facility</w:t>
            </w:r>
          </w:p>
        </w:tc>
        <w:tc>
          <w:tcPr>
            <w:tcW w:type="dxa" w:w="6581"/>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40" w:before="40"/>
              <w:jc w:val="left"/>
            </w:pPr>
            <w:r>
              <w:rPr>
                <w:b w:val="0"/>
                <w:sz w:val="18"/>
              </w:rPr>
              <w:t>NGN 5,000,000</w:t>
            </w:r>
          </w:p>
        </w:tc>
      </w:tr>
      <w:tr>
        <w:tc>
          <w:tcPr>
            <w:tcW w:type="dxa" w:w="3024"/>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40" w:before="40"/>
              <w:jc w:val="left"/>
            </w:pPr>
            <w:r>
              <w:rPr>
                <w:b w:val="0"/>
                <w:sz w:val="18"/>
              </w:rPr>
              <w:t>Funding stages</w:t>
            </w:r>
          </w:p>
        </w:tc>
        <w:tc>
          <w:tcPr>
            <w:tcW w:type="dxa" w:w="6581"/>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40" w:before="40"/>
              <w:jc w:val="left"/>
            </w:pPr>
            <w:r>
              <w:rPr>
                <w:b w:val="0"/>
                <w:sz w:val="18"/>
              </w:rPr>
              <w:t>NGN 1m pilot then NGN 2m and NGN 2m subject to signed conditions</w:t>
            </w:r>
          </w:p>
        </w:tc>
      </w:tr>
      <w:tr>
        <w:tc>
          <w:tcPr>
            <w:tcW w:type="dxa" w:w="3024"/>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40" w:before="40"/>
              <w:jc w:val="left"/>
            </w:pPr>
            <w:r>
              <w:rPr>
                <w:b w:val="0"/>
                <w:sz w:val="18"/>
              </w:rPr>
              <w:t>Equity</w:t>
            </w:r>
          </w:p>
        </w:tc>
        <w:tc>
          <w:tcPr>
            <w:tcW w:type="dxa" w:w="6581"/>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40" w:before="40"/>
              <w:jc w:val="left"/>
            </w:pPr>
            <w:r>
              <w:rPr>
                <w:b w:val="0"/>
                <w:sz w:val="18"/>
              </w:rPr>
              <w:t>Zero shares and no conversion rights</w:t>
            </w:r>
          </w:p>
        </w:tc>
      </w:tr>
      <w:tr>
        <w:tc>
          <w:tcPr>
            <w:tcW w:type="dxa" w:w="3024"/>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40" w:before="40"/>
              <w:jc w:val="left"/>
            </w:pPr>
            <w:r>
              <w:rPr>
                <w:b w:val="0"/>
                <w:sz w:val="18"/>
              </w:rPr>
              <w:t>Interest</w:t>
            </w:r>
          </w:p>
        </w:tc>
        <w:tc>
          <w:tcPr>
            <w:tcW w:type="dxa" w:w="6581"/>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40" w:before="40"/>
              <w:jc w:val="left"/>
            </w:pPr>
            <w:r>
              <w:rPr>
                <w:b w:val="0"/>
                <w:sz w:val="18"/>
              </w:rPr>
              <w:t>Proposed 8% annually simple at 8% divided by 12 monthly</w:t>
            </w:r>
          </w:p>
        </w:tc>
      </w:tr>
      <w:tr>
        <w:tc>
          <w:tcPr>
            <w:tcW w:type="dxa" w:w="3024"/>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40" w:before="40"/>
              <w:jc w:val="left"/>
            </w:pPr>
            <w:r>
              <w:rPr>
                <w:b w:val="0"/>
                <w:sz w:val="18"/>
              </w:rPr>
              <w:t>Term per draw</w:t>
            </w:r>
          </w:p>
        </w:tc>
        <w:tc>
          <w:tcPr>
            <w:tcW w:type="dxa" w:w="6581"/>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40" w:before="40"/>
              <w:jc w:val="left"/>
            </w:pPr>
            <w:r>
              <w:rPr>
                <w:b w:val="0"/>
                <w:sz w:val="18"/>
              </w:rPr>
              <w:t>36 months</w:t>
            </w:r>
          </w:p>
        </w:tc>
      </w:tr>
      <w:tr>
        <w:tc>
          <w:tcPr>
            <w:tcW w:type="dxa" w:w="3024"/>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40" w:before="40"/>
              <w:jc w:val="left"/>
            </w:pPr>
            <w:r>
              <w:rPr>
                <w:b w:val="0"/>
                <w:sz w:val="18"/>
              </w:rPr>
              <w:t>Payment grace</w:t>
            </w:r>
          </w:p>
        </w:tc>
        <w:tc>
          <w:tcPr>
            <w:tcW w:type="dxa" w:w="6581"/>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40" w:before="40"/>
              <w:jc w:val="left"/>
            </w:pPr>
            <w:r>
              <w:rPr>
                <w:b w:val="0"/>
                <w:sz w:val="18"/>
              </w:rPr>
              <w:t>First six months with interest accruing separately</w:t>
            </w:r>
          </w:p>
        </w:tc>
      </w:tr>
      <w:tr>
        <w:tc>
          <w:tcPr>
            <w:tcW w:type="dxa" w:w="3024"/>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40" w:before="40"/>
              <w:jc w:val="left"/>
            </w:pPr>
            <w:r>
              <w:rPr>
                <w:b w:val="0"/>
                <w:sz w:val="18"/>
              </w:rPr>
              <w:t>Repayment</w:t>
            </w:r>
          </w:p>
        </w:tc>
        <w:tc>
          <w:tcPr>
            <w:tcW w:type="dxa" w:w="6581"/>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40" w:before="40"/>
              <w:jc w:val="left"/>
            </w:pPr>
            <w:r>
              <w:rPr>
                <w:b w:val="0"/>
                <w:sz w:val="18"/>
              </w:rPr>
              <w:t>Thirty principal instalments plus grace interest and declining principal interest</w:t>
            </w:r>
          </w:p>
        </w:tc>
      </w:tr>
      <w:tr>
        <w:tc>
          <w:tcPr>
            <w:tcW w:type="dxa" w:w="3024"/>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40" w:before="40"/>
              <w:jc w:val="left"/>
            </w:pPr>
            <w:r>
              <w:rPr>
                <w:b w:val="0"/>
                <w:sz w:val="18"/>
              </w:rPr>
              <w:t>Early repayment</w:t>
            </w:r>
          </w:p>
        </w:tc>
        <w:tc>
          <w:tcPr>
            <w:tcW w:type="dxa" w:w="6581"/>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40" w:before="40"/>
              <w:jc w:val="left"/>
            </w:pPr>
            <w:r>
              <w:rPr>
                <w:b w:val="0"/>
                <w:sz w:val="18"/>
              </w:rPr>
              <w:t>Permitted without penalty or future unearned interest</w:t>
            </w:r>
          </w:p>
        </w:tc>
      </w:tr>
      <w:tr>
        <w:tc>
          <w:tcPr>
            <w:tcW w:type="dxa" w:w="3024"/>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40" w:before="40"/>
              <w:jc w:val="left"/>
            </w:pPr>
            <w:r>
              <w:rPr>
                <w:b w:val="0"/>
                <w:sz w:val="18"/>
              </w:rPr>
              <w:t>Security and founder guarantee</w:t>
            </w:r>
          </w:p>
        </w:tc>
        <w:tc>
          <w:tcPr>
            <w:tcW w:type="dxa" w:w="6581"/>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40" w:before="40"/>
              <w:jc w:val="left"/>
            </w:pPr>
            <w:r>
              <w:rPr>
                <w:b w:val="0"/>
                <w:sz w:val="18"/>
              </w:rPr>
              <w:t>None proposed</w:t>
            </w:r>
          </w:p>
        </w:tc>
      </w:tr>
      <w:tr>
        <w:tc>
          <w:tcPr>
            <w:tcW w:type="dxa" w:w="3024"/>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40" w:before="40"/>
              <w:jc w:val="left"/>
            </w:pPr>
            <w:r>
              <w:rPr>
                <w:b w:val="0"/>
                <w:sz w:val="18"/>
              </w:rPr>
              <w:t>Later advances</w:t>
            </w:r>
          </w:p>
        </w:tc>
        <w:tc>
          <w:tcPr>
            <w:tcW w:type="dxa" w:w="6581"/>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40" w:before="40"/>
              <w:jc w:val="left"/>
            </w:pPr>
            <w:r>
              <w:rPr>
                <w:b w:val="0"/>
                <w:sz w:val="18"/>
              </w:rPr>
              <w:t>Require results cash review and signed draw confirmation</w:t>
            </w:r>
          </w:p>
        </w:tc>
      </w:tr>
    </w:tbl>
    <w:p>
      <w:pPr>
        <w:spacing w:after="0"/>
      </w:pPr>
    </w:p>
    <w:p>
      <w:r>
        <w:t>Eight percent is an opening offer requiring lender acceptance, not a verified Nigerian market rate. An unsecured early-stage loan carries material credit risk. Only actual draws accrue debt; do not borrow all NGN 5m before testing performance.</w:t>
      </w:r>
    </w:p>
    <w:p>
      <w:pPr>
        <w:pStyle w:val="Heading1"/>
      </w:pPr>
      <w:r>
        <w:t>Indicative repayment amounts</w:t>
      </w:r>
    </w:p>
    <w:tbl>
      <w:tblPr>
        <w:tblW w:type="auto" w:w="0"/>
        <w:jc w:val="center"/>
        <w:tblLayout w:type="fixed"/>
        <w:tblLook w:firstColumn="1" w:firstRow="1" w:lastColumn="0" w:lastRow="0" w:noHBand="0" w:noVBand="1" w:val="04A0"/>
      </w:tblPr>
      <w:tblGrid>
        <w:gridCol w:w="4032"/>
        <w:gridCol w:w="1858"/>
        <w:gridCol w:w="1858"/>
        <w:gridCol w:w="1858"/>
      </w:tblGrid>
      <w:tr>
        <w:trPr>
          <w:tblHeader/>
        </w:trPr>
        <w:tc>
          <w:tcPr>
            <w:tcW w:type="dxa" w:w="4032"/>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shd w:fill="E8E8E8"/>
          </w:tcPr>
          <w:p>
            <w:pPr>
              <w:spacing w:after="40" w:before="40"/>
              <w:jc w:val="left"/>
            </w:pPr>
            <w:r>
              <w:rPr>
                <w:b/>
                <w:sz w:val="18"/>
              </w:rPr>
              <w:t>Principal NGN</w:t>
            </w:r>
          </w:p>
        </w:tc>
        <w:tc>
          <w:tcPr>
            <w:tcW w:type="dxa" w:w="1858"/>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shd w:fill="E8E8E8"/>
          </w:tcPr>
          <w:p>
            <w:pPr>
              <w:spacing w:after="40" w:before="40"/>
              <w:jc w:val="right"/>
            </w:pPr>
            <w:r>
              <w:rPr>
                <w:b/>
                <w:sz w:val="18"/>
              </w:rPr>
              <w:t>First payment NGN</w:t>
            </w:r>
          </w:p>
        </w:tc>
        <w:tc>
          <w:tcPr>
            <w:tcW w:type="dxa" w:w="1858"/>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shd w:fill="E8E8E8"/>
          </w:tcPr>
          <w:p>
            <w:pPr>
              <w:spacing w:after="40" w:before="40"/>
              <w:jc w:val="right"/>
            </w:pPr>
            <w:r>
              <w:rPr>
                <w:b/>
                <w:sz w:val="18"/>
              </w:rPr>
              <w:t>Final payment NGN</w:t>
            </w:r>
          </w:p>
        </w:tc>
        <w:tc>
          <w:tcPr>
            <w:tcW w:type="dxa" w:w="1858"/>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shd w:fill="E8E8E8"/>
          </w:tcPr>
          <w:p>
            <w:pPr>
              <w:spacing w:after="40" w:before="40"/>
              <w:jc w:val="right"/>
            </w:pPr>
            <w:r>
              <w:rPr>
                <w:b/>
                <w:sz w:val="18"/>
              </w:rPr>
              <w:t>Scheduled total NGN</w:t>
            </w:r>
          </w:p>
        </w:tc>
      </w:tr>
      <w:tr>
        <w:tc>
          <w:tcPr>
            <w:tcW w:type="dxa" w:w="4032"/>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40" w:before="40"/>
              <w:jc w:val="left"/>
            </w:pPr>
            <w:r>
              <w:rPr>
                <w:b w:val="0"/>
                <w:sz w:val="18"/>
              </w:rPr>
              <w:t>1,000,000</w:t>
            </w:r>
          </w:p>
        </w:tc>
        <w:tc>
          <w:tcPr>
            <w:tcW w:type="dxa" w:w="1858"/>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40" w:before="40"/>
              <w:jc w:val="right"/>
            </w:pPr>
            <w:r>
              <w:rPr>
                <w:b w:val="0"/>
                <w:sz w:val="18"/>
              </w:rPr>
              <w:t>41,333.33</w:t>
            </w:r>
          </w:p>
        </w:tc>
        <w:tc>
          <w:tcPr>
            <w:tcW w:type="dxa" w:w="1858"/>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40" w:before="40"/>
              <w:jc w:val="right"/>
            </w:pPr>
            <w:r>
              <w:rPr>
                <w:b w:val="0"/>
                <w:sz w:val="18"/>
              </w:rPr>
              <w:t>34,888.89</w:t>
            </w:r>
          </w:p>
        </w:tc>
        <w:tc>
          <w:tcPr>
            <w:tcW w:type="dxa" w:w="1858"/>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40" w:before="40"/>
              <w:jc w:val="right"/>
            </w:pPr>
            <w:r>
              <w:rPr>
                <w:b w:val="0"/>
                <w:sz w:val="18"/>
              </w:rPr>
              <w:t>1,143,333.33</w:t>
            </w:r>
          </w:p>
        </w:tc>
      </w:tr>
      <w:tr>
        <w:tc>
          <w:tcPr>
            <w:tcW w:type="dxa" w:w="4032"/>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40" w:before="40"/>
              <w:jc w:val="left"/>
            </w:pPr>
            <w:r>
              <w:rPr>
                <w:b w:val="0"/>
                <w:sz w:val="18"/>
              </w:rPr>
              <w:t>2,000,000</w:t>
            </w:r>
          </w:p>
        </w:tc>
        <w:tc>
          <w:tcPr>
            <w:tcW w:type="dxa" w:w="1858"/>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40" w:before="40"/>
              <w:jc w:val="right"/>
            </w:pPr>
            <w:r>
              <w:rPr>
                <w:b w:val="0"/>
                <w:sz w:val="18"/>
              </w:rPr>
              <w:t>82,666.67</w:t>
            </w:r>
          </w:p>
        </w:tc>
        <w:tc>
          <w:tcPr>
            <w:tcW w:type="dxa" w:w="1858"/>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40" w:before="40"/>
              <w:jc w:val="right"/>
            </w:pPr>
            <w:r>
              <w:rPr>
                <w:b w:val="0"/>
                <w:sz w:val="18"/>
              </w:rPr>
              <w:t>69,777.78</w:t>
            </w:r>
          </w:p>
        </w:tc>
        <w:tc>
          <w:tcPr>
            <w:tcW w:type="dxa" w:w="1858"/>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40" w:before="40"/>
              <w:jc w:val="right"/>
            </w:pPr>
            <w:r>
              <w:rPr>
                <w:b w:val="0"/>
                <w:sz w:val="18"/>
              </w:rPr>
              <w:t>2,286,666.67</w:t>
            </w:r>
          </w:p>
        </w:tc>
      </w:tr>
      <w:tr>
        <w:tc>
          <w:tcPr>
            <w:tcW w:type="dxa" w:w="4032"/>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40" w:before="40"/>
              <w:jc w:val="left"/>
            </w:pPr>
            <w:r>
              <w:rPr>
                <w:b w:val="0"/>
                <w:sz w:val="18"/>
              </w:rPr>
              <w:t>5,000,000 equivalent aggregate</w:t>
            </w:r>
          </w:p>
        </w:tc>
        <w:tc>
          <w:tcPr>
            <w:tcW w:type="dxa" w:w="1858"/>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40" w:before="40"/>
              <w:jc w:val="right"/>
            </w:pPr>
            <w:r>
              <w:rPr>
                <w:b w:val="0"/>
                <w:sz w:val="18"/>
              </w:rPr>
              <w:t>206,666.67</w:t>
            </w:r>
          </w:p>
        </w:tc>
        <w:tc>
          <w:tcPr>
            <w:tcW w:type="dxa" w:w="1858"/>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40" w:before="40"/>
              <w:jc w:val="right"/>
            </w:pPr>
            <w:r>
              <w:rPr>
                <w:b w:val="0"/>
                <w:sz w:val="18"/>
              </w:rPr>
              <w:t>174,444.44</w:t>
            </w:r>
          </w:p>
        </w:tc>
        <w:tc>
          <w:tcPr>
            <w:tcW w:type="dxa" w:w="1858"/>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40" w:before="40"/>
              <w:jc w:val="right"/>
            </w:pPr>
            <w:r>
              <w:rPr>
                <w:b w:val="0"/>
                <w:sz w:val="18"/>
              </w:rPr>
              <w:t>5,716,666.67</w:t>
            </w:r>
          </w:p>
        </w:tc>
      </w:tr>
    </w:tbl>
    <w:p>
      <w:pPr>
        <w:spacing w:after="0"/>
      </w:pPr>
    </w:p>
    <w:p>
      <w:r>
        <w:t>Figures assume thirty timely repayments after six months of grace, no early payments, extensions, fees or tax adjustment. The first payment falls seven months after each draw; the final payment falls at month 36. Actual staged draw schedules start on different dates, so the 5m row is not a single promised monthly schedule. Reconcile rounding in the final payment.</w:t>
      </w:r>
    </w:p>
    <w:p>
      <w:r>
        <w:br w:type="page"/>
      </w:r>
    </w:p>
    <w:p>
      <w:pPr>
        <w:pStyle w:val="Heading1"/>
      </w:pPr>
      <w:r>
        <w:t>Pilot budget for both audiences</w:t>
      </w:r>
    </w:p>
    <w:p>
      <w:r>
        <w:t>Allocate the initial NGN 1m over approximately eight to twelve weeks: NGN 600k for paying beverage businesses and NGN 400k for online shoppers. Separate campaign attribution, spending and results. Shared costs must be allocated once.</w:t>
      </w:r>
    </w:p>
    <w:tbl>
      <w:tblPr>
        <w:tblW w:type="auto" w:w="0"/>
        <w:jc w:val="center"/>
        <w:tblLayout w:type="fixed"/>
        <w:tblLook w:firstColumn="1" w:firstRow="1" w:lastColumn="0" w:lastRow="0" w:noHBand="0" w:noVBand="1" w:val="04A0"/>
      </w:tblPr>
      <w:tblGrid>
        <w:gridCol w:w="4032"/>
        <w:gridCol w:w="1858"/>
        <w:gridCol w:w="1858"/>
        <w:gridCol w:w="1858"/>
      </w:tblGrid>
      <w:tr>
        <w:trPr>
          <w:tblHeader/>
        </w:trPr>
        <w:tc>
          <w:tcPr>
            <w:tcW w:type="dxa" w:w="4032"/>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shd w:fill="E8E8E8"/>
          </w:tcPr>
          <w:p>
            <w:pPr>
              <w:spacing w:after="40" w:before="40"/>
              <w:jc w:val="left"/>
            </w:pPr>
            <w:r>
              <w:rPr>
                <w:b/>
                <w:sz w:val="18"/>
              </w:rPr>
              <w:t>Use</w:t>
            </w:r>
          </w:p>
        </w:tc>
        <w:tc>
          <w:tcPr>
            <w:tcW w:type="dxa" w:w="1858"/>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shd w:fill="E8E8E8"/>
          </w:tcPr>
          <w:p>
            <w:pPr>
              <w:spacing w:after="40" w:before="40"/>
              <w:jc w:val="right"/>
            </w:pPr>
            <w:r>
              <w:rPr>
                <w:b/>
                <w:sz w:val="18"/>
              </w:rPr>
              <w:t>Businesses NGN</w:t>
            </w:r>
          </w:p>
        </w:tc>
        <w:tc>
          <w:tcPr>
            <w:tcW w:type="dxa" w:w="1858"/>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shd w:fill="E8E8E8"/>
          </w:tcPr>
          <w:p>
            <w:pPr>
              <w:spacing w:after="40" w:before="40"/>
              <w:jc w:val="right"/>
            </w:pPr>
            <w:r>
              <w:rPr>
                <w:b/>
                <w:sz w:val="18"/>
              </w:rPr>
              <w:t>Shoppers NGN</w:t>
            </w:r>
          </w:p>
        </w:tc>
        <w:tc>
          <w:tcPr>
            <w:tcW w:type="dxa" w:w="1858"/>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shd w:fill="E8E8E8"/>
          </w:tcPr>
          <w:p>
            <w:pPr>
              <w:spacing w:after="40" w:before="40"/>
              <w:jc w:val="right"/>
            </w:pPr>
            <w:r>
              <w:rPr>
                <w:b/>
                <w:sz w:val="18"/>
              </w:rPr>
              <w:t>Total NGN</w:t>
            </w:r>
          </w:p>
        </w:tc>
      </w:tr>
      <w:tr>
        <w:tc>
          <w:tcPr>
            <w:tcW w:type="dxa" w:w="4032"/>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40" w:before="40"/>
              <w:jc w:val="left"/>
            </w:pPr>
            <w:r>
              <w:rPr>
                <w:b w:val="0"/>
                <w:sz w:val="18"/>
              </w:rPr>
              <w:t>Paid advertising</w:t>
            </w:r>
          </w:p>
        </w:tc>
        <w:tc>
          <w:tcPr>
            <w:tcW w:type="dxa" w:w="1858"/>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40" w:before="40"/>
              <w:jc w:val="right"/>
            </w:pPr>
            <w:r>
              <w:rPr>
                <w:b w:val="0"/>
                <w:sz w:val="18"/>
              </w:rPr>
              <w:t>250,000</w:t>
            </w:r>
          </w:p>
        </w:tc>
        <w:tc>
          <w:tcPr>
            <w:tcW w:type="dxa" w:w="1858"/>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40" w:before="40"/>
              <w:jc w:val="right"/>
            </w:pPr>
            <w:r>
              <w:rPr>
                <w:b w:val="0"/>
                <w:sz w:val="18"/>
              </w:rPr>
              <w:t>200,000</w:t>
            </w:r>
          </w:p>
        </w:tc>
        <w:tc>
          <w:tcPr>
            <w:tcW w:type="dxa" w:w="1858"/>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40" w:before="40"/>
              <w:jc w:val="right"/>
            </w:pPr>
            <w:r>
              <w:rPr>
                <w:b w:val="0"/>
                <w:sz w:val="18"/>
              </w:rPr>
              <w:t>450,000</w:t>
            </w:r>
          </w:p>
        </w:tc>
      </w:tr>
      <w:tr>
        <w:tc>
          <w:tcPr>
            <w:tcW w:type="dxa" w:w="4032"/>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40" w:before="40"/>
              <w:jc w:val="left"/>
            </w:pPr>
            <w:r>
              <w:rPr>
                <w:b w:val="0"/>
                <w:sz w:val="18"/>
              </w:rPr>
              <w:t>Creative and landing improvements</w:t>
            </w:r>
          </w:p>
        </w:tc>
        <w:tc>
          <w:tcPr>
            <w:tcW w:type="dxa" w:w="1858"/>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40" w:before="40"/>
              <w:jc w:val="right"/>
            </w:pPr>
            <w:r>
              <w:rPr>
                <w:b w:val="0"/>
                <w:sz w:val="18"/>
              </w:rPr>
              <w:t>100,000</w:t>
            </w:r>
          </w:p>
        </w:tc>
        <w:tc>
          <w:tcPr>
            <w:tcW w:type="dxa" w:w="1858"/>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40" w:before="40"/>
              <w:jc w:val="right"/>
            </w:pPr>
            <w:r>
              <w:rPr>
                <w:b w:val="0"/>
                <w:sz w:val="18"/>
              </w:rPr>
              <w:t>50,000</w:t>
            </w:r>
          </w:p>
        </w:tc>
        <w:tc>
          <w:tcPr>
            <w:tcW w:type="dxa" w:w="1858"/>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40" w:before="40"/>
              <w:jc w:val="right"/>
            </w:pPr>
            <w:r>
              <w:rPr>
                <w:b w:val="0"/>
                <w:sz w:val="18"/>
              </w:rPr>
              <w:t>150,000</w:t>
            </w:r>
          </w:p>
        </w:tc>
      </w:tr>
      <w:tr>
        <w:tc>
          <w:tcPr>
            <w:tcW w:type="dxa" w:w="4032"/>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40" w:before="40"/>
              <w:jc w:val="left"/>
            </w:pPr>
            <w:r>
              <w:rPr>
                <w:b w:val="0"/>
                <w:sz w:val="18"/>
              </w:rPr>
              <w:t>Demo onboarding and conversion support</w:t>
            </w:r>
          </w:p>
        </w:tc>
        <w:tc>
          <w:tcPr>
            <w:tcW w:type="dxa" w:w="1858"/>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40" w:before="40"/>
              <w:jc w:val="right"/>
            </w:pPr>
            <w:r>
              <w:rPr>
                <w:b w:val="0"/>
                <w:sz w:val="18"/>
              </w:rPr>
              <w:t>200,000</w:t>
            </w:r>
          </w:p>
        </w:tc>
        <w:tc>
          <w:tcPr>
            <w:tcW w:type="dxa" w:w="1858"/>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40" w:before="40"/>
              <w:jc w:val="right"/>
            </w:pPr>
            <w:r>
              <w:rPr>
                <w:b w:val="0"/>
                <w:sz w:val="18"/>
              </w:rPr>
              <w:t>50,000</w:t>
            </w:r>
          </w:p>
        </w:tc>
        <w:tc>
          <w:tcPr>
            <w:tcW w:type="dxa" w:w="1858"/>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40" w:before="40"/>
              <w:jc w:val="right"/>
            </w:pPr>
            <w:r>
              <w:rPr>
                <w:b w:val="0"/>
                <w:sz w:val="18"/>
              </w:rPr>
              <w:t>250,000</w:t>
            </w:r>
          </w:p>
        </w:tc>
      </w:tr>
      <w:tr>
        <w:tc>
          <w:tcPr>
            <w:tcW w:type="dxa" w:w="4032"/>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40" w:before="40"/>
              <w:jc w:val="left"/>
            </w:pPr>
            <w:r>
              <w:rPr>
                <w:b w:val="0"/>
                <w:sz w:val="18"/>
              </w:rPr>
              <w:t>Attribution and campaign operations</w:t>
            </w:r>
          </w:p>
        </w:tc>
        <w:tc>
          <w:tcPr>
            <w:tcW w:type="dxa" w:w="1858"/>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40" w:before="40"/>
              <w:jc w:val="right"/>
            </w:pPr>
            <w:r>
              <w:rPr>
                <w:b w:val="0"/>
                <w:sz w:val="18"/>
              </w:rPr>
              <w:t>40,000</w:t>
            </w:r>
          </w:p>
        </w:tc>
        <w:tc>
          <w:tcPr>
            <w:tcW w:type="dxa" w:w="1858"/>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40" w:before="40"/>
              <w:jc w:val="right"/>
            </w:pPr>
            <w:r>
              <w:rPr>
                <w:b w:val="0"/>
                <w:sz w:val="18"/>
              </w:rPr>
              <w:t>60,000</w:t>
            </w:r>
          </w:p>
        </w:tc>
        <w:tc>
          <w:tcPr>
            <w:tcW w:type="dxa" w:w="1858"/>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40" w:before="40"/>
              <w:jc w:val="right"/>
            </w:pPr>
            <w:r>
              <w:rPr>
                <w:b w:val="0"/>
                <w:sz w:val="18"/>
              </w:rPr>
              <w:t>100,000</w:t>
            </w:r>
          </w:p>
        </w:tc>
      </w:tr>
      <w:tr>
        <w:tc>
          <w:tcPr>
            <w:tcW w:type="dxa" w:w="4032"/>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40" w:before="40"/>
              <w:jc w:val="left"/>
            </w:pPr>
            <w:r>
              <w:rPr>
                <w:b w:val="0"/>
                <w:sz w:val="18"/>
              </w:rPr>
              <w:t>Contingency</w:t>
            </w:r>
          </w:p>
        </w:tc>
        <w:tc>
          <w:tcPr>
            <w:tcW w:type="dxa" w:w="1858"/>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40" w:before="40"/>
              <w:jc w:val="right"/>
            </w:pPr>
            <w:r>
              <w:rPr>
                <w:b w:val="0"/>
                <w:sz w:val="18"/>
              </w:rPr>
              <w:t>10,000</w:t>
            </w:r>
          </w:p>
        </w:tc>
        <w:tc>
          <w:tcPr>
            <w:tcW w:type="dxa" w:w="1858"/>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40" w:before="40"/>
              <w:jc w:val="right"/>
            </w:pPr>
            <w:r>
              <w:rPr>
                <w:b w:val="0"/>
                <w:sz w:val="18"/>
              </w:rPr>
              <w:t>40,000</w:t>
            </w:r>
          </w:p>
        </w:tc>
        <w:tc>
          <w:tcPr>
            <w:tcW w:type="dxa" w:w="1858"/>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40" w:before="40"/>
              <w:jc w:val="right"/>
            </w:pPr>
            <w:r>
              <w:rPr>
                <w:b w:val="0"/>
                <w:sz w:val="18"/>
              </w:rPr>
              <w:t>50,000</w:t>
            </w:r>
          </w:p>
        </w:tc>
      </w:tr>
      <w:tr>
        <w:tc>
          <w:tcPr>
            <w:tcW w:type="dxa" w:w="4032"/>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40" w:before="40"/>
              <w:jc w:val="left"/>
            </w:pPr>
            <w:r>
              <w:rPr>
                <w:b w:val="0"/>
                <w:sz w:val="18"/>
              </w:rPr>
              <w:t>Total</w:t>
            </w:r>
          </w:p>
        </w:tc>
        <w:tc>
          <w:tcPr>
            <w:tcW w:type="dxa" w:w="1858"/>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40" w:before="40"/>
              <w:jc w:val="right"/>
            </w:pPr>
            <w:r>
              <w:rPr>
                <w:b w:val="0"/>
                <w:sz w:val="18"/>
              </w:rPr>
              <w:t>600,000</w:t>
            </w:r>
          </w:p>
        </w:tc>
        <w:tc>
          <w:tcPr>
            <w:tcW w:type="dxa" w:w="1858"/>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40" w:before="40"/>
              <w:jc w:val="right"/>
            </w:pPr>
            <w:r>
              <w:rPr>
                <w:b w:val="0"/>
                <w:sz w:val="18"/>
              </w:rPr>
              <w:t>400,000</w:t>
            </w:r>
          </w:p>
        </w:tc>
        <w:tc>
          <w:tcPr>
            <w:tcW w:type="dxa" w:w="1858"/>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40" w:before="40"/>
              <w:jc w:val="right"/>
            </w:pPr>
            <w:r>
              <w:rPr>
                <w:b w:val="0"/>
                <w:sz w:val="18"/>
              </w:rPr>
              <w:t>1,000,000</w:t>
            </w:r>
          </w:p>
        </w:tc>
      </w:tr>
    </w:tbl>
    <w:p>
      <w:pPr>
        <w:spacing w:after="0"/>
      </w:pPr>
    </w:p>
    <w:p>
      <w:pPr>
        <w:pStyle w:val="Heading1"/>
      </w:pPr>
      <w:r>
        <w:t>Evidence before further borrowing</w:t>
      </w:r>
    </w:p>
    <w:p>
      <w:r>
        <w:t>For businesses, aim for at least four additional active tenants who each pay twice. The all-in business acquisition cost must be no higher than NGN 150k per retained tenant and pay back within six months of actual contribution. A full 600k business budget divided by four tenants equals 150k; registrations and free trials do not count.</w:t>
      </w:r>
    </w:p>
    <w:p>
      <w:r>
        <w:t>For shoppers, measure fulfilled-order contribution after tenant payouts, payment/payout costs, discounts, delivery/support, refunds and allocated acquisition spend. Seek positive settled cohort contribution. A business campaign's success does not establish shopper profitability. Pause failed channels and obtain consent to material reallocations.</w:t>
      </w:r>
    </w:p>
    <w:p>
      <w:r>
        <w:t>Before the next 2m, verify campaign evidence, collections, support costs, remaining cash and a downside forecast covering operating costs and all overlapping loan payments. The lender must sign its draw confirmation. Before the second draw is funded, agree the third draw's expanded cohort and retention threshold in writing. No automatic later advance follows from clicks, impressions or a general growth forecast.</w:t>
      </w:r>
    </w:p>
    <w:p>
      <w:r>
        <w:br w:type="page"/>
      </w:r>
    </w:p>
    <w:p>
      <w:pPr>
        <w:pStyle w:val="Heading1"/>
      </w:pPr>
      <w:r>
        <w:t>Acquisition economics and cash discipline</w:t>
      </w:r>
    </w:p>
    <w:p>
      <w:r>
        <w:t>The existing model assumes NGN 45k average monthly tenant subscriptions, approximately NGN 775 provider fees and NGN 5k variable support/infrastructure. That gives NGN 39,225 contribution before fixed overhead. At NGN 150k acquisition cost, indicative payback is 3.82 months. At NGN 300k, it is 7.65 months. These are planning assumptions; verify actual prices, costs and retention.</w:t>
      </w:r>
    </w:p>
    <w:p>
      <w:r>
        <w:t>Four such new tenants would add NGN 180k gross subscriptions and approximately NGN 156,900 contribution monthly before fixed overhead. This is a target scenario, not a promise. Extra staffing, failed collections and churn reduce the benefit.</w:t>
      </w:r>
    </w:p>
    <w:p>
      <w:pPr>
        <w:pStyle w:val="Heading1"/>
      </w:pPr>
      <w:r>
        <w:t>Shopper test before expanding spend</w:t>
      </w:r>
    </w:p>
    <w:tbl>
      <w:tblPr>
        <w:tblW w:type="auto" w:w="0"/>
        <w:jc w:val="center"/>
        <w:tblLayout w:type="fixed"/>
        <w:tblLook w:firstColumn="1" w:firstRow="1" w:lastColumn="0" w:lastRow="0" w:noHBand="0" w:noVBand="1" w:val="04A0"/>
      </w:tblPr>
      <w:tblGrid>
        <w:gridCol w:w="3024"/>
        <w:gridCol w:w="6581"/>
      </w:tblGrid>
      <w:tr>
        <w:trPr>
          <w:tblHeader/>
        </w:trPr>
        <w:tc>
          <w:tcPr>
            <w:tcW w:type="dxa" w:w="3024"/>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shd w:fill="E8E8E8"/>
          </w:tcPr>
          <w:p>
            <w:pPr>
              <w:spacing w:after="40" w:before="40"/>
              <w:jc w:val="left"/>
            </w:pPr>
            <w:r>
              <w:rPr>
                <w:b/>
                <w:sz w:val="18"/>
              </w:rPr>
              <w:t>Illustrative order economics</w:t>
            </w:r>
          </w:p>
        </w:tc>
        <w:tc>
          <w:tcPr>
            <w:tcW w:type="dxa" w:w="6581"/>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shd w:fill="E8E8E8"/>
          </w:tcPr>
          <w:p>
            <w:pPr>
              <w:spacing w:after="40" w:before="40"/>
              <w:jc w:val="left"/>
            </w:pPr>
            <w:r>
              <w:rPr>
                <w:b/>
                <w:sz w:val="18"/>
              </w:rPr>
              <w:t>NGN</w:t>
            </w:r>
          </w:p>
        </w:tc>
      </w:tr>
      <w:tr>
        <w:tc>
          <w:tcPr>
            <w:tcW w:type="dxa" w:w="3024"/>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40" w:before="40"/>
              <w:jc w:val="left"/>
            </w:pPr>
            <w:r>
              <w:rPr>
                <w:b w:val="0"/>
                <w:sz w:val="18"/>
              </w:rPr>
              <w:t>Customer basket</w:t>
            </w:r>
          </w:p>
        </w:tc>
        <w:tc>
          <w:tcPr>
            <w:tcW w:type="dxa" w:w="6581"/>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40" w:before="40"/>
              <w:jc w:val="left"/>
            </w:pPr>
            <w:r>
              <w:rPr>
                <w:b w:val="0"/>
                <w:sz w:val="18"/>
              </w:rPr>
              <w:t>25,000</w:t>
            </w:r>
          </w:p>
        </w:tc>
      </w:tr>
      <w:tr>
        <w:tc>
          <w:tcPr>
            <w:tcW w:type="dxa" w:w="3024"/>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40" w:before="40"/>
              <w:jc w:val="left"/>
            </w:pPr>
            <w:r>
              <w:rPr>
                <w:b w:val="0"/>
                <w:sz w:val="18"/>
              </w:rPr>
              <w:t>Platform earnings at assumed 11% share</w:t>
            </w:r>
          </w:p>
        </w:tc>
        <w:tc>
          <w:tcPr>
            <w:tcW w:type="dxa" w:w="6581"/>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40" w:before="40"/>
              <w:jc w:val="left"/>
            </w:pPr>
            <w:r>
              <w:rPr>
                <w:b w:val="0"/>
                <w:sz w:val="18"/>
              </w:rPr>
              <w:t>2,750</w:t>
            </w:r>
          </w:p>
        </w:tc>
      </w:tr>
      <w:tr>
        <w:tc>
          <w:tcPr>
            <w:tcW w:type="dxa" w:w="3024"/>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40" w:before="40"/>
              <w:jc w:val="left"/>
            </w:pPr>
            <w:r>
              <w:rPr>
                <w:b w:val="0"/>
                <w:sz w:val="18"/>
              </w:rPr>
              <w:t>Non-acquisition variable costs at assumed 6% of basket</w:t>
            </w:r>
          </w:p>
        </w:tc>
        <w:tc>
          <w:tcPr>
            <w:tcW w:type="dxa" w:w="6581"/>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40" w:before="40"/>
              <w:jc w:val="left"/>
            </w:pPr>
            <w:r>
              <w:rPr>
                <w:b w:val="0"/>
                <w:sz w:val="18"/>
              </w:rPr>
              <w:t>1,500</w:t>
            </w:r>
          </w:p>
        </w:tc>
      </w:tr>
      <w:tr>
        <w:tc>
          <w:tcPr>
            <w:tcW w:type="dxa" w:w="3024"/>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40" w:before="40"/>
              <w:jc w:val="left"/>
            </w:pPr>
            <w:r>
              <w:rPr>
                <w:b w:val="0"/>
                <w:sz w:val="18"/>
              </w:rPr>
              <w:t>Contribution before acquisition and fixed overhead</w:t>
            </w:r>
          </w:p>
        </w:tc>
        <w:tc>
          <w:tcPr>
            <w:tcW w:type="dxa" w:w="6581"/>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40" w:before="40"/>
              <w:jc w:val="left"/>
            </w:pPr>
            <w:r>
              <w:rPr>
                <w:b w:val="0"/>
                <w:sz w:val="18"/>
              </w:rPr>
              <w:t>1,250</w:t>
            </w:r>
          </w:p>
        </w:tc>
      </w:tr>
      <w:tr>
        <w:tc>
          <w:tcPr>
            <w:tcW w:type="dxa" w:w="3024"/>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40" w:before="40"/>
              <w:jc w:val="left"/>
            </w:pPr>
            <w:r>
              <w:rPr>
                <w:b w:val="0"/>
                <w:sz w:val="18"/>
              </w:rPr>
              <w:t>Proposed maximum all-in cost per fulfilled order</w:t>
            </w:r>
          </w:p>
        </w:tc>
        <w:tc>
          <w:tcPr>
            <w:tcW w:type="dxa" w:w="6581"/>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40" w:before="40"/>
              <w:jc w:val="left"/>
            </w:pPr>
            <w:r>
              <w:rPr>
                <w:b w:val="0"/>
                <w:sz w:val="18"/>
              </w:rPr>
              <w:t>625</w:t>
            </w:r>
          </w:p>
        </w:tc>
      </w:tr>
      <w:tr>
        <w:tc>
          <w:tcPr>
            <w:tcW w:type="dxa" w:w="3024"/>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40" w:before="40"/>
              <w:jc w:val="left"/>
            </w:pPr>
            <w:r>
              <w:rPr>
                <w:b w:val="0"/>
                <w:sz w:val="18"/>
              </w:rPr>
              <w:t>Remaining contribution at that target</w:t>
            </w:r>
          </w:p>
        </w:tc>
        <w:tc>
          <w:tcPr>
            <w:tcW w:type="dxa" w:w="6581"/>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40" w:before="40"/>
              <w:jc w:val="left"/>
            </w:pPr>
            <w:r>
              <w:rPr>
                <w:b w:val="0"/>
                <w:sz w:val="18"/>
              </w:rPr>
              <w:t>625</w:t>
            </w:r>
          </w:p>
        </w:tc>
      </w:tr>
    </w:tbl>
    <w:p>
      <w:pPr>
        <w:spacing w:after="0"/>
      </w:pPr>
    </w:p>
    <w:p>
      <w:r>
        <w:t>Actual margins depend on tenant agreements. The 6% non-acquisition cost assumption includes 2% processing/payout, 3% service/delivery subsidy and 1% reserve; it is not a provider quote. Add actual advertising costs once, without another acquisition percentage. Count repeat orders only when fulfilled; do not use an unverified lifetime-value forecast to justify losses.</w:t>
      </w:r>
    </w:p>
    <w:p>
      <w:r>
        <w:t>At these assumptions, spending the full 400k shopper budget requires 320 fulfilled orders just to cover acquisition, or 640 to achieve 625 cost per order. Start with a 30k media test within the 200k media allocation. Assess order contribution, cancellations, refunds and support before further spend; the budget is a ceiling rather than a duty to exhaust it.</w:t>
      </w:r>
    </w:p>
    <w:p>
      <w:pPr>
        <w:pStyle w:val="Heading1"/>
      </w:pPr>
      <w:r>
        <w:t>Closing and affordability</w:t>
      </w:r>
    </w:p>
    <w:p>
      <w:r>
        <w:t>Two paying tenants at configured full prices imply NGN 120k monthly subscriptions. Illustrative Paystack local fees leave 118k before salaries, hosting, support and tax. This does not establish repayment affordability. Online sales are currently zero according to the founder; projected marketplace income is not available cash. Company ownership of code and domain is founder-confirmed, not independently verified.</w:t>
      </w:r>
    </w:p>
    <w:p>
      <w:r>
        <w:t>Before signing, complete Company and Lender details, existing debts, actual expenses, verified bank details, draw availability, signed cash forecasts and repayment dates. Nigerian counsel should review authority, lending/securities requirements, withholding and execution. The proposed contract gives no personal guarantee, domain security or equity conversion; it creates Company debt subject to applicable law. Poor ad results alone do not cancel the debt.</w:t>
      </w:r>
    </w:p>
    <w:p>
      <w:r>
        <w:t>This plan concerns both audiences and supersedes the earlier recommendation to use convertible finance for this advertising purpose. No lender acceptance, paid campaign launch, funding or execution is claimed. Detailed working assumptions and alternatives remain in marketing-funding-plan.md.</w:t>
      </w:r>
    </w:p>
    <w:sectPr w:rsidR="00FC693F" w:rsidRPr="0006063C" w:rsidSect="00034616">
      <w:footerReference w:type="default" r:id="rId9"/>
      <w:pgSz w:w="11909" w:h="16834"/>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DrinksHarbour  |  Draft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2"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line="252"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line="252" w:lineRule="auto"/>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2"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52" w:lineRule="auto"/>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DrinksHarbour Advertising Funding Plan</dc:title>
  <dc:subject>Non-convertible advertising funding review draft</dc:subject>
  <dc:creator>DrinksHarbour</dc:creator>
  <cp:keywords/>
  <dc:description>generated by python-docx</dc:description>
  <cp:lastModifiedBy/>
  <cp:revision>1</cp:revision>
  <dcterms:created xsi:type="dcterms:W3CDTF">2013-12-23T23:15:00Z</dcterms:created>
  <dcterms:modified xsi:type="dcterms:W3CDTF">2013-12-23T23:15:00Z</dcterms:modified>
  <cp:category/>
</cp:coreProperties>
</file>