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DrinksHarbour Advertising Funding Proposal</w:t>
      </w:r>
    </w:p>
    <w:p>
      <w:r>
        <w:rPr>
          <w:b w:val="0"/>
        </w:rPr>
        <w:t>PROPOSED TERMS FOR DISCUSSION</w:t>
      </w:r>
    </w:p>
    <w:p>
      <w:r>
        <w:rPr>
          <w:b w:val="0"/>
        </w:rPr>
        <w:t>Prepared on 7 October 2026. The founder wants to fund advertising for both paying beverage businesses and online shoppers without giving a lender approximately 14% equity. Recommend a staged non-convertible company loan with no shares, warrants or conversion rights. This is a funding proposal, not a signed facility or lender commitment.</w:t>
      </w:r>
    </w:p>
    <w:p>
      <w:pPr>
        <w:pStyle w:val="Heading1"/>
      </w:pPr>
      <w:r>
        <w:t>Proposed facility</w:t>
      </w:r>
    </w:p>
    <w:tbl>
      <w:tblPr>
        <w:tblW w:type="auto" w:w="0"/>
        <w:jc w:val="center"/>
        <w:tblLayout w:type="fixed"/>
        <w:tblLook w:firstColumn="1" w:firstRow="1" w:lastColumn="0" w:lastRow="0" w:noHBand="0" w:noVBand="1" w:val="04A0"/>
      </w:tblPr>
      <w:tblGrid>
        <w:gridCol w:w="3240"/>
        <w:gridCol w:w="6365"/>
      </w:tblGrid>
      <w:tr>
        <w:trPr>
          <w:tblHeade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Term</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Proposal</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Maximum facility</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NGN 5,000,000</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Draws</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NGN 1m pilot, then NGN 2m and NGN 2m against agreed results and cash-flow gates</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Interest</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Opening offer of 8% annually, simple and non-compounding</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Term</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36 months for each draw from its own funding date</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Grace</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No scheduled payments in the first six months; interest accrues separately</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Repayment</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Thirty monthly principal payments plus grace-period interest and declining-balance interest</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Ownership rights</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None; no equity conversion or perpetual profit participation</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Early repayment</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Permitted without penalty; unpaid principal and accrued interest remain due</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Security</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Unsecured proposed; no founder guarantee or security over code/domain</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Undrawn funds</w:t>
            </w:r>
          </w:p>
        </w:tc>
        <w:tc>
          <w:tcPr>
            <w:tcW w:type="dxa" w:w="6365"/>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No interest or commitment fee proposed</w:t>
            </w:r>
          </w:p>
        </w:tc>
      </w:tr>
    </w:tbl>
    <w:p>
      <w:pPr>
        <w:spacing w:after="40" w:line="60" w:lineRule="exact"/>
      </w:pPr>
    </w:p>
    <w:p>
      <w:r>
        <w:rPr>
          <w:b w:val="0"/>
        </w:rPr>
        <w:t>Eight percent is a negotiating offer, not a current Nigerian market quotation or a rate the lender must accept. The lender faces early-stage credit risk and may request different terms or decline. Debt obligations remain even if advertising fails. Further draw commitments and objective conditions must be expressly agreed, not assumed from this proposal.</w:t>
      </w:r>
    </w:p>
    <w:p>
      <w:pPr>
        <w:pStyle w:val="Heading1"/>
      </w:pPr>
      <w:r>
        <w:t>Illustrative payments</w:t>
      </w:r>
    </w:p>
    <w:p>
      <w:r>
        <w:rPr>
          <w:b w:val="0"/>
        </w:rPr>
        <w:t>Planning calculations use 8% divided by 12 each month, six months of separate accrued interest, thirty equal principal payments and interest on opening unpaid principal. Final agreement dates, tax treatment and rounding must be specified.</w:t>
      </w:r>
    </w:p>
    <w:tbl>
      <w:tblPr>
        <w:tblW w:type="auto" w:w="0"/>
        <w:jc w:val="center"/>
        <w:tblLayout w:type="fixed"/>
        <w:tblLook w:firstColumn="1" w:firstRow="1" w:lastColumn="0" w:lastRow="0" w:noHBand="0" w:noVBand="1" w:val="04A0"/>
      </w:tblPr>
      <w:tblGrid>
        <w:gridCol w:w="3960"/>
        <w:gridCol w:w="1872"/>
        <w:gridCol w:w="1872"/>
        <w:gridCol w:w="1901"/>
      </w:tblGrid>
      <w:tr>
        <w:trPr>
          <w:tblHeader/>
          <w:cantSplit/>
        </w:trPr>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Draw</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First payment in month 7</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Last payment in month 36</w:t>
            </w:r>
          </w:p>
        </w:tc>
        <w:tc>
          <w:tcPr>
            <w:tcW w:type="dxa" w:w="19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Total scheduled repayment</w:t>
            </w:r>
          </w:p>
        </w:tc>
      </w:tr>
      <w:tr>
        <w:trPr>
          <w:cantSplit/>
        </w:trPr>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NGN 1m</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41,333.33</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34,888.89</w:t>
            </w:r>
          </w:p>
        </w:tc>
        <w:tc>
          <w:tcPr>
            <w:tcW w:type="dxa" w:w="19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1,143,333.33</w:t>
            </w:r>
          </w:p>
        </w:tc>
      </w:tr>
      <w:tr>
        <w:trPr>
          <w:cantSplit/>
        </w:trPr>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NGN 2m</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82,666.67</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69,777.78</w:t>
            </w:r>
          </w:p>
        </w:tc>
        <w:tc>
          <w:tcPr>
            <w:tcW w:type="dxa" w:w="19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2,286,666.67</w:t>
            </w:r>
          </w:p>
        </w:tc>
      </w:tr>
      <w:tr>
        <w:trPr>
          <w:cantSplit/>
        </w:trPr>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Equivalent aggregate NGN 5m</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206,666.67</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174,444.44</w:t>
            </w:r>
          </w:p>
        </w:tc>
        <w:tc>
          <w:tcPr>
            <w:tcW w:type="dxa" w:w="19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5,716,666.67</w:t>
            </w:r>
          </w:p>
        </w:tc>
      </w:tr>
    </w:tbl>
    <w:p>
      <w:pPr>
        <w:spacing w:after="40" w:line="60" w:lineRule="exact"/>
      </w:pPr>
    </w:p>
    <w:p>
      <w:r>
        <w:rPr>
          <w:b w:val="0"/>
        </w:rPr>
        <w:t>Each staged draw has its own timing; the aggregate row is not a promise that all payments start together. Figures assume on-time payments and no extra fees, extensions or tax adjustments. Current list-price subscriptions are only NGN 120,000 monthly before expenses, so affordability is not established. A downside cash forecast covering operations, tax and all loan payments is required before borrowing.</w:t>
      </w:r>
    </w:p>
    <w:p>
      <w:pPr>
        <w:pStyle w:val="Heading1"/>
        <w:pageBreakBefore/>
      </w:pPr>
      <w:r>
        <w:t>Advertising pilot for both audiences</w:t>
      </w:r>
    </w:p>
    <w:p>
      <w:r>
        <w:rPr>
          <w:b w:val="0"/>
        </w:rPr>
        <w:t>Use the first NGN 1m over approximately eight to twelve weeks, with separate attribution and cost ledgers. Proposed allocation is NGN 600k to paying-business acquisition and NGN 400k to shoppers. Spend only as evidence supports; allocations are ceilings, not spending targets.</w:t>
      </w:r>
    </w:p>
    <w:tbl>
      <w:tblPr>
        <w:tblW w:type="auto" w:w="0"/>
        <w:jc w:val="center"/>
        <w:tblLayout w:type="fixed"/>
        <w:tblLook w:firstColumn="1" w:firstRow="1" w:lastColumn="0" w:lastRow="0" w:noHBand="0" w:noVBand="1" w:val="04A0"/>
      </w:tblPr>
      <w:tblGrid>
        <w:gridCol w:w="3960"/>
        <w:gridCol w:w="1872"/>
        <w:gridCol w:w="1872"/>
        <w:gridCol w:w="1901"/>
      </w:tblGrid>
      <w:tr>
        <w:trPr>
          <w:tblHeader/>
          <w:cantSplit/>
        </w:trPr>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Use</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Businesses NGN</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Shoppers NGN</w:t>
            </w:r>
          </w:p>
        </w:tc>
        <w:tc>
          <w:tcPr>
            <w:tcW w:type="dxa" w:w="19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shd w:fill="E8E8E8"/>
          </w:tcPr>
          <w:p>
            <w:pPr>
              <w:spacing w:after="40" w:before="40"/>
            </w:pPr>
            <w:r>
              <w:rPr>
                <w:b/>
                <w:sz w:val="19"/>
              </w:rPr>
              <w:t>Total NGN</w:t>
            </w:r>
          </w:p>
        </w:tc>
      </w:tr>
      <w:tr>
        <w:trPr>
          <w:cantSplit/>
        </w:trPr>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Paid advertising</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250,000</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200,000</w:t>
            </w:r>
          </w:p>
        </w:tc>
        <w:tc>
          <w:tcPr>
            <w:tcW w:type="dxa" w:w="19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450,000</w:t>
            </w:r>
          </w:p>
        </w:tc>
      </w:tr>
      <w:tr>
        <w:trPr>
          <w:cantSplit/>
        </w:trPr>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Creative and landing-page work</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100,000</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50,000</w:t>
            </w:r>
          </w:p>
        </w:tc>
        <w:tc>
          <w:tcPr>
            <w:tcW w:type="dxa" w:w="19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150,000</w:t>
            </w:r>
          </w:p>
        </w:tc>
      </w:tr>
      <w:tr>
        <w:trPr>
          <w:cantSplit/>
        </w:trPr>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Demo onboarding or conversion support</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200,000</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50,000</w:t>
            </w:r>
          </w:p>
        </w:tc>
        <w:tc>
          <w:tcPr>
            <w:tcW w:type="dxa" w:w="19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250,000</w:t>
            </w:r>
          </w:p>
        </w:tc>
      </w:tr>
      <w:tr>
        <w:trPr>
          <w:cantSplit/>
        </w:trPr>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Attribution and operations</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40,000</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60,000</w:t>
            </w:r>
          </w:p>
        </w:tc>
        <w:tc>
          <w:tcPr>
            <w:tcW w:type="dxa" w:w="19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100,000</w:t>
            </w:r>
          </w:p>
        </w:tc>
      </w:tr>
      <w:tr>
        <w:trPr>
          <w:cantSplit/>
        </w:trPr>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Contingency</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10,000</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40,000</w:t>
            </w:r>
          </w:p>
        </w:tc>
        <w:tc>
          <w:tcPr>
            <w:tcW w:type="dxa" w:w="19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50,000</w:t>
            </w:r>
          </w:p>
        </w:tc>
      </w:tr>
      <w:tr>
        <w:trPr>
          <w:cantSplit/>
        </w:trPr>
        <w:tc>
          <w:tcPr>
            <w:tcW w:type="dxa" w:w="3960"/>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Total</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600,000</w:t>
            </w:r>
          </w:p>
        </w:tc>
        <w:tc>
          <w:tcPr>
            <w:tcW w:type="dxa" w:w="1872"/>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400,000</w:t>
            </w:r>
          </w:p>
        </w:tc>
        <w:tc>
          <w:tcPr>
            <w:tcW w:type="dxa" w:w="1901"/>
            <w:vAlign w:val="center"/>
            <w:tcBorders>
              <w:top w:val="single" w:sz="4" w:color="D9D9D9"/>
              <w:left w:val="single" w:sz="4" w:color="D9D9D9"/>
              <w:bottom w:val="single" w:sz="4" w:color="D9D9D9"/>
              <w:right w:val="single" w:sz="4" w:color="D9D9D9"/>
            </w:tcBorders>
            <w:tcMar>
              <w:top w:w="75" w:type="dxa"/>
              <w:left w:w="95" w:type="dxa"/>
              <w:bottom w:w="75" w:type="dxa"/>
              <w:right w:w="95" w:type="dxa"/>
            </w:tcMar>
          </w:tcPr>
          <w:p>
            <w:pPr>
              <w:spacing w:after="40" w:before="40"/>
            </w:pPr>
            <w:r>
              <w:rPr>
                <w:b w:val="0"/>
                <w:sz w:val="19"/>
              </w:rPr>
              <w:t>1,000,000</w:t>
            </w:r>
          </w:p>
        </w:tc>
      </w:tr>
    </w:tbl>
    <w:p>
      <w:pPr>
        <w:spacing w:after="40" w:line="60" w:lineRule="exact"/>
      </w:pPr>
    </w:p>
    <w:p>
      <w:pPr>
        <w:pStyle w:val="Heading1"/>
      </w:pPr>
      <w:r>
        <w:t>Evidence before the next NGN 2m</w:t>
      </w:r>
    </w:p>
    <w:p>
      <w:r>
        <w:rPr>
          <w:b w:val="0"/>
        </w:rPr>
        <w:t>For the business channel, seek at least four additional campaign-attributed active tenants, each with two recurring paid collections. At the complete NGN 600k budget, four tenants imply NGN 150k acquisition cost each. Include creative, sales, onboarding and appropriately allocated shared expenses, not just media spend. Proposed payback threshold is at most six months using actual contribution after provider fees, discounts and variable support.</w:t>
      </w:r>
    </w:p>
    <w:p>
      <w:r>
        <w:rPr>
          <w:b w:val="0"/>
        </w:rPr>
        <w:t>The prior illustrative tenant mix gives NGN 45k average monthly subscription less NGN 775 provider fees and NGN 5k variable service cost: NGN 39,225 contribution before fixed overhead. NGN 150k acquisition cost would imply 3.82-month payback. Four such tenants would add NGN 180k gross recurring income and NGN 156,900 contribution before fixed costs. These are assumptions and targets, not campaign forecasts.</w:t>
      </w:r>
    </w:p>
    <w:p>
      <w:r>
        <w:rPr>
          <w:b w:val="0"/>
        </w:rPr>
        <w:t>For shoppers, test fulfilled-order contribution separately. At an illustrative NGN 25k basket and 11% effective platform share, gross platform earnings are NGN 2,750. Estimated provider/payout, fulfilment support and loss-reserve costs of 6% of sales leave NGN 1,250 before acquisition. A proposed all-in acquisition target of at most NGN 625 per fulfilled order would leave NGN 625 contribution. Actual tenant agreements and costs can change this substantially.</w:t>
      </w:r>
    </w:p>
    <w:p>
      <w:r>
        <w:rPr>
          <w:b w:val="0"/>
        </w:rPr>
        <w:t>At those assumptions, NGN 400k shopper spend needs 320 fulfilled orders to break even, or 640 at the NGN 625 acquisition target. Start with a NGN 30k media test inside the NGN 200k shopper media allocation; verify settled orders and full acquisition costs before scaling. Do not treat clicks, registrations, full marketplace GMV or predicted repeat purchases as Company cash contribution.</w:t>
      </w:r>
    </w:p>
    <w:p>
      <w:r>
        <w:rPr>
          <w:b w:val="0"/>
        </w:rPr>
        <w:t>Later draws require positive settled channel economics, retained paid customers and an affordable downside cash forecast. Pause failing channels and reallocate only under the agreed budget process. The last NGN 2m requires equivalent evidence for the expanded cohort. No marketing copy, ad launch or purchase has occurred.</w:t>
      </w:r>
    </w:p>
    <w:p>
      <w:pPr>
        <w:pStyle w:val="Heading1"/>
        <w:pageBreakBefore/>
      </w:pPr>
      <w:r>
        <w:t>Revenue-linked alternative</w:t>
      </w:r>
    </w:p>
    <w:p>
      <w:r>
        <w:rPr>
          <w:b w:val="0"/>
        </w:rPr>
        <w:t>If fixed payments are unsuitable, negotiate a non-convertible revenue-linked structure. For illustration, 10% of defined collected Company receipts until total payments reach 1.2 times actual draws would target NGN 6m for a fully drawn NGN 5m facility. This is a capped finance charge, not 20% yearly interest or permanent revenue ownership. Tenant settlements, taxes, refunds and wallet/gift liabilities must be excluded; the contract must state how provider and fulfilment costs affect the payment base.</w:t>
      </w:r>
    </w:p>
    <w:p>
      <w:r>
        <w:rPr>
          <w:b w:val="0"/>
        </w:rPr>
        <w:t>At a NGN 120k payment base, the payment would be only NGN 12k and NGN 6m would take 500 months without growth. At NGN 2m, NGN 200k monthly payments would take 30 payment months. With three months of grace and a 36-month long-stop, the average base over the remaining 33 months must be approximately NGN 1.818m. An unpaid maturity balance, extension or balloon must be expressly negotiated; no debt forgiveness is assumed. This alternative is not established as affordable or available.</w:t>
      </w:r>
    </w:p>
    <w:p>
      <w:pPr>
        <w:pStyle w:val="Heading1"/>
      </w:pPr>
      <w:r>
        <w:t>Current facts and next documents</w:t>
      </w:r>
    </w:p>
    <w:p>
      <w:r>
        <w:rPr>
          <w:b w:val="0"/>
        </w:rPr>
        <w:t>The founder confirms two paying tenants on Enterprise and Growth, no online sales and ownership of the code and drinksharbour.com. Configured full monthly prices imply NGN 120k subscriptions; actual receipts, operating costs, cash, debt and retention are unverified. Marketing must prove repeatable acquisition and collection before borrowing the full facility.</w:t>
      </w:r>
    </w:p>
    <w:p>
      <w:r>
        <w:rPr>
          <w:b w:val="0"/>
        </w:rPr>
        <w:t>Before execution, agree the lender's accepted rate, identities, corporate authority, dated draw and repayment schedules, later-draw commitment, purpose budget, reporting, tax, permitted prepayment, default and dispute terms. Obtain Nigerian counsel review of the actual bilateral arrangement and applicable rules. Do not execute the earlier convertible agreement for this stated no-equity preference.</w:t>
      </w:r>
    </w:p>
    <w:p>
      <w:r>
        <w:rPr>
          <w:b w:val="0"/>
        </w:rPr>
        <w:t>Full assumptions and calculations are in marketing-funding-plan.md. A separate review draft, DrinksHarbour Advertising Loan Agreement.docx, is available. Complete its parties and dated schedules and reconcile accepted commercial terms before signing; this proposal itself creates no borrowing or funding obligation.</w:t>
      </w:r>
    </w:p>
    <w:p>
      <w:r>
        <w:rPr>
          <w:b w:val="0"/>
        </w:rPr>
        <w:t>General explanation of revenue-linked finance: https://capitalise.com/gb/business-finance/revenue-based-financing</w:t>
      </w:r>
    </w:p>
    <w:p>
      <w:r>
        <w:rPr>
          <w:b w:val="0"/>
        </w:rPr>
        <w:t>This source concerns UK products; it does not establish Nigerian eligibility or approval. Nigerian legal diligence source: https://www.sec.gov.ng/documents/1319/Investments_and_Securities_Act_2025_x9rSXtI.pdf</w:t>
      </w:r>
    </w:p>
    <w:sectPr w:rsidR="00FC693F" w:rsidRPr="0006063C" w:rsidSect="00034616">
      <w:footerReference w:type="default" r:id="rId9"/>
      <w:pgSz w:w="11909" w:h="16834"/>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DrinksHarbour  |  Review draft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2"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DrinksHarbour Advertising Funding Proposal</dc:title>
  <dc:subject>Proposed terms for review, not executed</dc:subject>
  <dc:creator>DrinksHarbour</dc:creator>
  <cp:keywords/>
  <dc:description>generated by python-docx</dc:description>
  <cp:lastModifiedBy/>
  <cp:revision>1</cp:revision>
  <dcterms:created xsi:type="dcterms:W3CDTF">2013-12-23T23:15:00Z</dcterms:created>
  <dcterms:modified xsi:type="dcterms:W3CDTF">2013-12-23T23:15:00Z</dcterms:modified>
  <cp:category/>
</cp:coreProperties>
</file>