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DrinksHarbour Advertising Loan Agreement</w:t>
      </w:r>
    </w:p>
    <w:p>
      <w:r>
        <w:rPr>
          <w:b/>
          <w:sz w:val="18"/>
        </w:rPr>
        <w:t>DRAFT FOR NEGOTIATION AND LEGAL REVIEW</w:t>
      </w:r>
    </w:p>
    <w:p>
      <w:r>
        <w:t>This Agreement provides staged advertising funding to the company operating DrinksHarbour. It is an unsecured loan with interest and repayment obligations. It gives the Lender no shares, conversion rights or ownership of the business, software or domain. Complete the bracketed details and schedules, confirm affordability and obtain Nigerian legal review before signature.</w:t>
      </w:r>
    </w:p>
    <w:p>
      <w:pPr>
        <w:pStyle w:val="Heading1"/>
      </w:pPr>
      <w:r>
        <w:t>1 Parties and facility</w:t>
      </w:r>
    </w:p>
    <w:p>
      <w:r>
        <w:t>1.1 Company: [REGISTERED COMPANY NAME], incorporated in Nigeria, RC [NUMBER], registered address [ADDRESS], operating DrinksHarbour and drinksharbour.com (Company). Lender: [FULL LEGAL NAME AND IDENTITY OR ENTITY DETAILS], address [ADDRESS] (Lender). Effective Date: [DATE OF LAST SIGNATURE]. Business Day means a weekday other than an Abuja public holiday.</w:t>
      </w:r>
    </w:p>
    <w:p>
      <w:r>
        <w:t>1.2 Maximum facility: NGN 5,000,000 (five million naira). Proposed draws are NGN 1,000,000, followed by NGN 2,000,000 and NGN 2,000,000. The Company owes principal only for cleared funds actually received. Undrawn amounts bear no interest or commitment fee. Draw availability ends on [DATE], unless extended in writing. Each draw has its own Funding Date and repayment schedule under clause 3.</w:t>
      </w:r>
    </w:p>
    <w:p>
      <w:r>
        <w:t>1.3 No shares, conversion option, warrant, valuation cap, board seat or perpetual share of profits or revenue is granted. Default or successful advertising does not change this position. Any future equity transaction requires a separate express agreement and lawful corporate approvals; it cannot be imposed under this loan.</w:t>
      </w:r>
    </w:p>
    <w:p>
      <w:r>
        <w:t>1.4 This facility is unsecured. No security over the software, drinksharbour.com, Company assets or founders' personal property is granted. No founder or director personally guarantees repayment by signing solely for the Company. Each party remains responsible for its own fraud and liability that cannot lawfully be excluded.</w:t>
      </w:r>
    </w:p>
    <w:p>
      <w:pPr>
        <w:pStyle w:val="Heading1"/>
      </w:pPr>
      <w:r>
        <w:t>2 Funding conditions and later draws</w:t>
      </w:r>
    </w:p>
    <w:p>
      <w:r>
        <w:t>2.1 Before the first draw, the parties must complete identity, beneficial ownership and lawful source-of-funds checks; verify incorporation, authority and the Company bank account; obtain required corporate and regulatory approvals; approve the budget; disclose existing debts; and sign a realistic cash forecast and draw schedule. The Company must demonstrate capacity to meet the proposed debt service alongside operating obligations. Conditions required by law cannot be waived.</w:t>
      </w:r>
    </w:p>
    <w:p>
      <w:r>
        <w:t>2.2 The initial draw is funded within ten Business Days after the Company requests it and all initial conditions are satisfied or lawfully waived in writing, provided the request is within availability. Transfer only to [COMPANY BANK, ACCOUNT NAME AND NUMBER], never a founder's personal account. The Company issues a receipt and financial record within five Business Days.</w:t>
      </w:r>
    </w:p>
    <w:p>
      <w:r>
        <w:t>2.3 Later draws are conditional commitments, not automatic advances. They require the evidence in Schedule 2, no continuing Event of Default, an agreed current budget, a satisfactory documented downside cash forecast and a draw confirmation signed by both parties. The Lender shall review a complete request within ten Business Days and state any unmet condition with reasons. Once the draw confirmation is signed, it must specify a funding date within ten Business Days. No later draw is owed before that confirmation.</w:t>
      </w:r>
    </w:p>
    <w:p>
      <w:r>
        <w:t>2.4 The Company may cancel undrawn funding without penalty. Cancellation does not accelerate properly performing drawn loans. Failure to meet an acquisition target prevents further funding where applicable; it is not by itself a default of an already funded draw. A later draw must not exceed the remaining facility ceiling.</w:t>
      </w:r>
    </w:p>
    <w:p>
      <w:r>
        <w:br w:type="page"/>
      </w:r>
    </w:p>
    <w:p>
      <w:pPr>
        <w:pStyle w:val="Heading1"/>
      </w:pPr>
      <w:r>
        <w:t>3 Interest repayment and early payment</w:t>
      </w:r>
    </w:p>
    <w:p>
      <w:r>
        <w:t>3.1 Interest is 8% annually, simple and non-compounding, calculated at 8% divided by 12 for each monthly anniversary cycle on outstanding principal. A partial cycle uses elapsed calendar days divided by the total calendar days in that cycle. Principal changes during a cycle are calculated separately for each period. Interest, fees and unpaid interest never themselves bear interest. The parties acknowledge this is a negotiated rate, not a representation of market pricing.</w:t>
      </w:r>
    </w:p>
    <w:p>
      <w:r>
        <w:t>3.2 Each draw matures 36 calendar months after its Funding Date. No scheduled principal or interest payment falls in the first six monthly cycles. Interest during that grace period accrues separately; it is not added to principal. The first scheduled payment falls seven calendar months after that draw's Funding Date, and the thirtieth payment 36 months after that date.</w:t>
      </w:r>
    </w:p>
    <w:p>
      <w:r>
        <w:t>3.3 Without early payments, each of those thirty payments contains: one-thirtieth of the draw's original principal; one-thirtieth of its accrued grace-period interest; and interest for the latest monthly cycle on the principal outstanding at that cycle's start, adjusted for any intervening principal payment under clause 3.1. Interest is not charged twice for a period. All amounts are rounded to the nearest kobo, with a final reconciliation so rounding does not overcharge or forgive principal.</w:t>
      </w:r>
    </w:p>
    <w:p>
      <w:r>
        <w:t>3.4 Where a calendar month lacks the corresponding Funding Date day, use that month's last day. A payment date falling outside a Business Day moves to the next Business Day without additional interest solely for that shift. Each actual draw must have a signed schedule recording dates and amounts; the formula governs an arithmetic discrepancy, subject to mandatory law. Each draw's remaining debt is due at its own maturity. There is no automatic extension or forgiveness.</w:t>
      </w:r>
    </w:p>
    <w:p>
      <w:r>
        <w:t>3.5 The Company may repay early without penalty or an unearned future-interest charge. Payments are applied first to accrued unpaid interest, then principal. Interest stops on principal repaid. After partial early repayment, the parties shall record the reduced principal, residual grace interest and future schedule; remaining principal instalments do not increase, the grace-interest component is reconciled across remaining instalments and the final balance is corrected. No amount is repaid twice. Early repayment during grace uses accrued interest to that date only.</w:t>
      </w:r>
    </w:p>
    <w:p>
      <w:r>
        <w:t>3.6 No default premium, compounded interest or undisclosed fee applies. After maturity or acceleration, the same simple rate continues on unpaid principal under clause 3.1, subject to mandatory law, until repayment. An extension or restructuring requires express written agreement; financial distress does not automatically convert debt to shares.</w:t>
      </w:r>
    </w:p>
    <w:p>
      <w:pPr>
        <w:pStyle w:val="Heading1"/>
      </w:pPr>
      <w:r>
        <w:t>4 Advertising purpose and budget control</w:t>
      </w:r>
    </w:p>
    <w:p>
      <w:r>
        <w:t>4.1 Draws fund advertising and related creative, conversion, sales follow-up, onboarding and attribution for both paying beverage businesses and online shoppers, under Schedule 1. They must not fund personal expenditure, undisclosed founder repayments, shareholder distributions or unrelated purchases. Ordinary campaign staffing costs must be disclosed and budgeted.</w:t>
      </w:r>
    </w:p>
    <w:p>
      <w:r>
        <w:t>4.2 Keep receipts, invoices, channel attribution and a separate ledger for this facility. Business and shopper campaigns must have separate cost and revenue tracking. Tenant settlement amounts, customer wallet or gift balances and taxes held for remittance are not Company revenue or free working capital.</w:t>
      </w:r>
    </w:p>
    <w:p>
      <w:r>
        <w:t>4.3 Written Lender consent is required for moving more than 20% of a category's approved budget, changing the business/shopper split materially, or redirecting a failed campaign's allocation to another channel. The Company may pause spending immediately when performance is poor without incurring new spending merely to exhaust the budget. Company management controls day-to-day lawful campaigns.</w:t>
      </w:r>
    </w:p>
    <w:p>
      <w:r>
        <w:br w:type="page"/>
      </w:r>
    </w:p>
    <w:p>
      <w:pPr>
        <w:pStyle w:val="Heading1"/>
      </w:pPr>
      <w:r>
        <w:t>5 Reporting and reasonable protections</w:t>
      </w:r>
    </w:p>
    <w:p>
      <w:r>
        <w:t>5.1 Within fifteen Business Days after each month end, provide campaign spend and remaining budget, channel results, actual paid collections and refunds, outstanding loan balances, upcoming payments and an updated cash forecast. Tenant and shopper information must be aggregate or de-identified where practical. Marketplace sales volume must be distinguished from the Company's share and contribution after variable costs.</w:t>
      </w:r>
    </w:p>
    <w:p>
      <w:r>
        <w:t>5.2 The Lender may request reasonable supporting financial records on notice, subject to confidentiality and data protection. It receives no advertising-account administrator rights, tenant customer lists or general management authority. Annual financial statements are supplied within 120 days of year end, audited where required by law.</w:t>
      </w:r>
    </w:p>
    <w:p>
      <w:r>
        <w:t>5.3 Until drawn debt is repaid, obtain prior written Lender consent for contractual subordination or security that materially prejudices this loan, disposal of substantially all essential platform IP or the domain, shareholder distributions, or undisclosed material related-party payments. Routine budgeted trading liabilities and disclosed ordinary salaries are permitted. Consent rights do not replace statutory approvals or mandatory creditor rules.</w:t>
      </w:r>
    </w:p>
    <w:p>
      <w:pPr>
        <w:pStyle w:val="Heading1"/>
      </w:pPr>
      <w:r>
        <w:t>6 Disclosures and compliance</w:t>
      </w:r>
    </w:p>
    <w:p>
      <w:r>
        <w:t>6.1 At signature and funding, the Company warrants its valid incorporation and authority, material accuracy of disclosed debt and ownership records, disclosure of material disputes and liabilities, and that supplied factual information is not knowingly misleading. Document Company title or adequate licences to material code, domain and third-party assets. No warranty is made that campaigns will succeed, forecast revenue will be achieved or a future lender will refinance.</w:t>
      </w:r>
    </w:p>
    <w:p>
      <w:r>
        <w:t>6.2 The Lender warrants capacity, lawful source of funds and disclosed beneficial ownership. It acknowledges that unsecured Company debt can be illiquid and may not be recovered in full, and has the opportunity for independent advice. These acknowledgements do not excuse fraud or express contractual breaches.</w:t>
      </w:r>
    </w:p>
    <w:p>
      <w:r>
        <w:t>6.3 Nigerian counsel shall verify corporate, lending, securities, tax, investor eligibility and filing requirements applicable to the actual parties and transaction. Calling this a private non-convertible loan does not establish an exemption. Payments are subject to mandatory withholding and reporting; supply remittance evidence and credit withholding lawfully remitted against the relevant payment. There is no automatic tax gross-up. Each party bears its adviser costs unless expressly agreed otherwise.</w:t>
      </w:r>
    </w:p>
    <w:p>
      <w:pPr>
        <w:pStyle w:val="Heading1"/>
      </w:pPr>
      <w:r>
        <w:t>7 Default and creditor treatment</w:t>
      </w:r>
    </w:p>
    <w:p>
      <w:r>
        <w:t>7.1 Events of Default are a due payment unpaid for ten Business Days after written notice; material contractual breach unremedied for twenty Business Days after notice where remediable; material Company fraud or deliberate misuse of funds; or an insolvency event recognised under applicable law. Poor ad performance, missed growth targets or a declined later draw alone is not an Event of Default.</w:t>
      </w:r>
    </w:p>
    <w:p>
      <w:r>
        <w:t>7.2 On default, the Lender may suspend undrawn funding and accelerate drawn unpaid principal and accrued interest by written notice, subject to legal restrictions and any moratorium. There is no automatic equity conversion, transfer of domain/software, personal guarantee or entitlement to both repayment and ownership for the same debt. Proven lawful remedies remain available without double recovery.</w:t>
      </w:r>
    </w:p>
    <w:p>
      <w:r>
        <w:t>7.3 The Company shall disclose material distress promptly, normally within five Business Days after management awareness, and propose a repayment or restructuring discussion. The parties may agree an extension, but neither is obliged to do so. The loan ranks as ordinary unsecured unsubordinated Company debt, subject to statutory priorities and any separately signed lawful subordination. No promise of solvency or repayment from a particular advertising campaign is made.</w:t>
      </w:r>
    </w:p>
    <w:p>
      <w:r>
        <w:br w:type="page"/>
      </w:r>
    </w:p>
    <w:p>
      <w:pPr>
        <w:pStyle w:val="Heading1"/>
      </w:pPr>
      <w:r>
        <w:t>8 General terms notices and disputes</w:t>
      </w:r>
    </w:p>
    <w:p>
      <w:r>
        <w:t>8.1 Confidential information may be used only for the facility and lawful oversight. Disclosure to bound advisers, with consent or as required by law is permitted. Confidentiality continues for three years after discharge; qualifying trade secrets remain protected. A transfer by the Lender requires Company consent, not unreasonably withheld, and a lawful eligible transferee bound by this Agreement. A transfer to a direct competitor may reasonably be refused. The Company cannot transfer its obligations without Lender consent.</w:t>
      </w:r>
    </w:p>
    <w:p>
      <w:r>
        <w:t>8.2 Notices use the addresses and emails in Schedule 3. Default, acceleration and dispute notices must also be sent by courier. Email is received on acknowledgement or the next Business Day after sending if no delivery failure is received; courier on recorded delivery. Changed details must be notified in writing.</w:t>
      </w:r>
    </w:p>
    <w:p>
      <w:r>
        <w:t>8.3 Nigerian law governs. The Agreement, signed schedules, draw confirmations and disclosure letter form the entire agreement. Written amendments require both parties' signatures. No delay is a waiver. Invalid clauses are severed only so far as lawful. Mandatory law and creditor priorities prevail. A later budget document changes commercial terms only if expressly signed as an amendment; the operational plan is not itself a guarantee of results.</w:t>
      </w:r>
    </w:p>
    <w:p>
      <w:r>
        <w:t>8.4 Attempt resolution through authorised representatives for fifteen Business Days after dispute notice. Unresolved arbitrable matters go to one arbitrator under the Arbitration and Mediation Act 2023, seated in Abuja, in English. Appointment is by agreement within fifteen Business Days of the arbitration request, failing which through the competent court under applicable law. Urgent court relief and mandatory non-arbitrable remedies remain available. Counsel shall confirm the execution method and signatory authority, including any electronic signature or counterpart.</w:t>
      </w:r>
    </w:p>
    <w:p>
      <w:pPr>
        <w:pStyle w:val="Heading1"/>
      </w:pPr>
      <w:r>
        <w:t>Schedule 1 Initial pilot budget</w:t>
      </w:r>
    </w:p>
    <w:p>
      <w:r>
        <w:t>The initial NGN 1m draw is for an eight-to-twelve-week pilot. These ceilings are allocation limits, not a duty to spend the full budget or a promise of acquisition results. Later draws require separately signed budgets.</w:t>
      </w:r>
    </w:p>
    <w:tbl>
      <w:tblPr>
        <w:tblW w:type="auto" w:w="0"/>
        <w:jc w:val="center"/>
        <w:tblLayout w:type="fixed"/>
        <w:tblLook w:firstColumn="1" w:firstRow="1" w:lastColumn="0" w:lastRow="0" w:noHBand="0" w:noVBand="1" w:val="04A0"/>
      </w:tblPr>
      <w:tblGrid>
        <w:gridCol w:w="4032"/>
        <w:gridCol w:w="1858"/>
        <w:gridCol w:w="1858"/>
        <w:gridCol w:w="1858"/>
      </w:tblGrid>
      <w:tr>
        <w:trPr>
          <w:tblHeader/>
        </w:trP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left"/>
            </w:pPr>
            <w:r>
              <w:rPr>
                <w:b/>
                <w:sz w:val="18"/>
              </w:rPr>
              <w:t>Use</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Businesses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Shoppers NGN</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shd w:fill="E8E8E8"/>
          </w:tcPr>
          <w:p>
            <w:pPr>
              <w:spacing w:after="40" w:before="40"/>
              <w:jc w:val="right"/>
            </w:pPr>
            <w:r>
              <w:rPr>
                <w:b/>
                <w:sz w:val="18"/>
              </w:rPr>
              <w:t>Total NGN</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Paid advertising</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Creative and landing improvements</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Demo onboarding and conversion support</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250,000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Attribution and campaign operations</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60,000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Contingency</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50,000</w:t>
            </w:r>
          </w:p>
        </w:tc>
      </w:tr>
      <w:tr>
        <w:tc>
          <w:tcPr>
            <w:tcW w:type="dxa" w:w="4032"/>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left"/>
            </w:pPr>
            <w:r>
              <w:rPr>
                <w:b w:val="0"/>
                <w:sz w:val="18"/>
              </w:rPr>
              <w:t>Total</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600,000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400,000</w:t>
            </w:r>
          </w:p>
        </w:tc>
        <w:tc>
          <w:tcPr>
            <w:tcW w:type="dxa" w:w="1858"/>
            <w:vAlign w:val="center"/>
            <w:tcBorders>
              <w:top w:val="single" w:sz="4" w:color="D9D9D9"/>
              <w:left w:val="single" w:sz="4" w:color="D9D9D9"/>
              <w:bottom w:val="single" w:sz="4" w:color="D9D9D9"/>
              <w:right w:val="single" w:sz="4" w:color="D9D9D9"/>
            </w:tcBorders>
            <w:tcMar>
              <w:top w:w="65" w:type="dxa"/>
              <w:left w:w="90" w:type="dxa"/>
              <w:bottom w:w="65" w:type="dxa"/>
              <w:right w:w="90" w:type="dxa"/>
            </w:tcMar>
          </w:tcPr>
          <w:p>
            <w:pPr>
              <w:spacing w:after="40" w:before="40"/>
              <w:jc w:val="right"/>
            </w:pPr>
            <w:r>
              <w:rPr>
                <w:b w:val="0"/>
                <w:sz w:val="18"/>
              </w:rPr>
              <w:t>1,000,000</w:t>
            </w:r>
          </w:p>
        </w:tc>
      </w:tr>
    </w:tbl>
    <w:p>
      <w:pPr>
        <w:spacing w:after="0"/>
      </w:pPr>
    </w:p>
    <w:p>
      <w:pPr>
        <w:pStyle w:val="Heading1"/>
      </w:pPr>
      <w:r>
        <w:t>Schedule 2 Later funding evidence</w:t>
      </w:r>
    </w:p>
    <w:p>
      <w:r>
        <w:t>For the second draw, document at least four additional campaign-attributed active tenants, each with two paid recurring collections; all-in business acquisition cost no greater than NGN 150,000 per retained tenant; and acquisition payback no longer than six months using actual contribution after provider fees, variable support and discounts. Exclude trials, duplicate existing customers, taxes and one-time fees. Allocate shared costs once.</w:t>
      </w:r>
    </w:p>
    <w:p>
      <w:r>
        <w:t>For shopper campaigns, show positive settled cohort contribution after allocated acquisition cost, tenant payouts, provider costs, refunds and delivery/support costs. If unsuccessful, pause and obtain written agreement to any reallocation. Provide a downside cash forecast covering operating costs, taxes, other debts and the overlapping draw schedules. The third draw requires an agreed expanded cohort threshold recorded before the second draw: [NUMBER AND PERIOD], equivalent cost/payback checks, measured retention and a fresh affordability review. Both later draws require clause 2.3's signed confirmation; incomplete third-draw conditions create no automatic advance.</w:t>
      </w:r>
    </w:p>
    <w:p>
      <w:r>
        <w:br w:type="page"/>
      </w:r>
    </w:p>
    <w:p>
      <w:pPr>
        <w:pStyle w:val="Heading1"/>
      </w:pPr>
      <w:r>
        <w:t>Schedule 3 Closing details and signatures</w:t>
      </w:r>
    </w:p>
    <w:p>
      <w:r>
        <w:t>Company notice address and email: [DETAILS]. Lender notice address and email: [DETAILS]. Bank account verified by: [NAME AND DATE]. Availability end date: [DATE]. First proposed funding date: [DATE]. Existing debts and encumbrances: [DETAILS OR NONE]. Signed disclosure letter dated: [DATE]. Cash forecast period and approval: [DETAILS].</w:t>
      </w:r>
    </w:p>
    <w:p>
      <w:r>
        <w:t>Attach incorporation evidence, articles, director/shareholder approvals where required, identity and source-of-funds checks, beneficial ownership details, required regulatory consents, platform/domain title or licences, disclosure letter, initial cash forecast and budget. The parties initial completed schedules. Blank conditions and signatures must not be treated as fulfilled.</w:t>
      </w:r>
    </w:p>
    <w:p>
      <w:r>
        <w:t>For the Company: [REGISTERED COMPANY NAME]</w:t>
      </w:r>
    </w:p>
    <w:p>
      <w:r>
        <w:t>Authorised signature: ____________________</w:t>
      </w:r>
    </w:p>
    <w:p>
      <w:r>
        <w:t>Name: [NAME] Title: [TITLE] Date: [DATE]</w:t>
      </w:r>
    </w:p>
    <w:p>
      <w:r>
        <w:t>Additional authorised signatory if required: ____________________</w:t>
      </w:r>
    </w:p>
    <w:p>
      <w:r>
        <w:t>Name and title: [DETAILS] Date: [DATE]</w:t>
      </w:r>
    </w:p>
    <w:p>
      <w:r>
        <w:t>Lender: [FULL LEGAL NAME]</w:t>
      </w:r>
    </w:p>
    <w:p>
      <w:r>
        <w:t>Signature: ____________________</w:t>
      </w:r>
    </w:p>
    <w:p>
      <w:r>
        <w:t>Name and capacity: [DETAILS] Date: [DATE]</w:t>
      </w:r>
    </w:p>
    <w:p>
      <w:r>
        <w:t>Witness for individual signature where required: signature ____________________ Name [NAME] Address [ADDRESS] Occupation [OCCUPATION]. Counsel shall confirm appropriate execution formalities.</w:t>
      </w:r>
    </w:p>
    <w:p>
      <w:pPr>
        <w:pStyle w:val="Heading1"/>
      </w:pPr>
      <w:r>
        <w:t>Draw confirmation to repeat for each advance</w:t>
      </w:r>
    </w:p>
    <w:p>
      <w:r>
        <w:t>Draw number: [1, 2 OR 3]. Amount: NGN [AMOUNT]. Cumulative funded principal: NGN [AMOUNT]. Conditions satisfied or lawfully waived: [EVIDENCE]. Budget/version: [DETAILS]. Agreed funding date: [DATE]. Actual cleared Funding Date: [DATE]. First payment date: [DATE]. Maturity Date: [DATE]. Signed repayment schedule attached: [REFERENCE].</w:t>
      </w:r>
    </w:p>
    <w:p>
      <w:r>
        <w:t>The parties confirm this draw is debt with no ownership or conversion rights. Company authorised signature: ____________________ Date: [DATE]. Lender signature: ____________________ Date: [DATE]. Any later change to the Funding Date requires a corrected signed repayment schedule before its first payment.</w:t>
      </w:r>
    </w:p>
    <w:sectPr w:rsidR="00FC693F" w:rsidRPr="0006063C" w:rsidSect="00034616">
      <w:footerReference w:type="default" r:id="rId9"/>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DrinksHarbour  |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DrinksHarbour Advertising Loan Agreement</dc:title>
  <dc:subject>Non-convertible advertising funding review draft</dc:subject>
  <dc:creator>DrinksHarbour</dc:creator>
  <cp:keywords/>
  <dc:description>generated by python-docx</dc:description>
  <cp:lastModifiedBy/>
  <cp:revision>1</cp:revision>
  <dcterms:created xsi:type="dcterms:W3CDTF">2013-12-23T23:15:00Z</dcterms:created>
  <dcterms:modified xsi:type="dcterms:W3CDTF">2013-12-23T23:15:00Z</dcterms:modified>
  <cp:category/>
</cp:coreProperties>
</file>