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Convertible Loan Agreement</w:t>
      </w:r>
    </w:p>
    <w:p>
      <w:r>
        <w:rPr>
          <w:b/>
          <w:sz w:val="18"/>
        </w:rPr>
        <w:t>DRAFT FOR NEGOTIATION AND LEGAL REVIEW</w:t>
      </w:r>
    </w:p>
    <w:p>
      <w:r>
        <w:t>This Agreement provides bridge funding to the company operating DrinksHarbour. The loan may convert into shares at a discount or valuation cap. Until valid conversion or repayment, it remains an unsecured Company debt. The proposed commercial terms below are negotiable; all bracketed information and schedules must be completed before signing.</w:t>
      </w:r>
    </w:p>
    <w:p>
      <w:pPr>
        <w:pStyle w:val="Heading1"/>
      </w:pPr>
      <w:r>
        <w:t>1 Parties and key terms</w:t>
      </w:r>
    </w:p>
    <w:p>
      <w:r>
        <w:t>Company: [REGISTERED COMPANY NAME], incorporated in Nigeria, RC [NUMBER], registered office [ADDRESS], operating DrinksHarbour and drinksharbour.com (Company).</w:t>
      </w:r>
    </w:p>
    <w:p>
      <w:r>
        <w:t>Lender: [FULL LEGAL NAME, IDENTITY OR ENTITY DETAILS], of [ADDRESS] (Lender).</w:t>
      </w:r>
    </w:p>
    <w:p>
      <w:r>
        <w:t>Signing Shareholders: the existing holders identified and signing in Schedule 2 (Shareholders). Effective Date: [DATE OF LAST SIGNATURE]. Business Day means a weekday other than a public holiday in Abuja, Nigeria.</w:t>
      </w:r>
    </w:p>
    <w:p>
      <w:r>
        <w:t>Principal: NGN [AMOUNT] ([AMOUNT IN WORDS] naira), funded once in cleared funds on [DATE] (Funding Date). No obligation to provide additional funding is implied.</w:t>
      </w:r>
    </w:p>
    <w:p>
      <w:r>
        <w:t>Interest: 8% per annum, simple and non-compounding, accruing on outstanding principal using actual elapsed days divided by 365. No scheduled cash interest before maturity or conversion.</w:t>
      </w:r>
    </w:p>
    <w:p>
      <w:r>
        <w:t>Conversion discount: 20%. The discounted price is 80% of the price paid by new cash investors in the qualifying round. This does not mean a fixed 20% ownership stake.</w:t>
      </w:r>
    </w:p>
    <w:p>
      <w:r>
        <w:t>Bridge Funding Limit: NGN [AMOUNT], being the maximum aggregate original principal of this loan and all other bridge instruments listed or authorised in Schedule 2. The limit must be fixed before signing.</w:t>
      </w:r>
    </w:p>
    <w:p>
      <w:r>
        <w:t>Pre-money valuation cap: NGN 35,000,000 (thirty-five million naira), fixed independently of the Principal and Bridge Funding Limit. The discount and cap are alternatives: the lower valid share price applies, without stacking them. This cap adopts the parties' proposed NGN 35 million valuation basis for conversion pricing; it is not an independent appraisal, guaranteed sale price or fixed ownership percentage. Later bridge funding does not increase or reduce the cap without a signed amendment under clause 12.2.</w:t>
      </w:r>
    </w:p>
    <w:p>
      <w:r>
        <w:t>Qualifying Financing threshold: new cash equity funding of at least twice the Bridge Funding Limit, equal to NGN [THRESHOLD], excluding converted debt, accrued interest and non-cash consideration.</w:t>
      </w:r>
    </w:p>
    <w:p>
      <w:r>
        <w:t>Maturity Date: the date falling 24 calendar months after the Funding Date. For an absent corresponding calendar day, use the month's last day; payments falling on a non-Business Day move to the next Business Day. Any extension requires written agreement and may add no more than six months under this draft.</w:t>
      </w:r>
    </w:p>
    <w:p>
      <w:r>
        <w:t>Security: none. No personal founder guarantee. Governing law: Nigeria. Arbitration seat: Abuja.</w:t>
      </w:r>
    </w:p>
    <w:p>
      <w:r>
        <w:t>The parties confirm these are proposed terms until executed. The stated valuation cap is NGN 35,000,000. The Principal, Bridge Funding Limit, financing threshold and other bracketed details remain to be completed; the cap creates no commitment to lend NGN 35 million and no guarantee of projected revenue or independently established company value.</w:t>
      </w:r>
    </w:p>
    <w:p>
      <w:r>
        <w:br w:type="page"/>
      </w:r>
    </w:p>
    <w:p>
      <w:pPr>
        <w:pStyle w:val="Heading1"/>
      </w:pPr>
      <w:r>
        <w:t>2 Funding and conditions</w:t>
      </w:r>
    </w:p>
    <w:p>
      <w:r>
        <w:t>2.1 Funding is conditional on verified incorporation and capacity; identity, beneficial ownership and source-of-funds checks; an agreed disclosure letter, budget and capitalisation schedule; required corporate approvals, pre-emption waivers and consents; documented title or adequate licences to essential platform IP; and legal confirmation of the regulatory requirements applicable to issuance and later conversion. Mandatory legal requirements cannot be waived by contract.</w:t>
      </w:r>
    </w:p>
    <w:p>
      <w:r>
        <w:t>2.2 Before accepting funds, the Company shall obtain the approvals and Shareholder undertakings necessary to implement the agreed conversion formulas and share classes, to the extent legally possible. Each signing Shareholder shall exercise its lawful voting rights to give effect to this Agreement. Non-signing holders are not bound; their necessary consents must be obtained separately. The Company shall maintain sufficient lawful capacity for conversion and renew approvals when required.</w:t>
      </w:r>
    </w:p>
    <w:p>
      <w:r>
        <w:t>2.3 Cleared funds shall be transferred only to the verified Company account: [BANK, ACCOUNT NAME AND NUMBER]. A founder's personal account is not an authorised destination. The Company shall issue a signed receipt and enter the loan in its financial records within five Business Days.</w:t>
      </w:r>
    </w:p>
    <w:p>
      <w:r>
        <w:t>2.4 If funding conditions are unsatisfied by [LONG-STOP DATE], either non-defaulting party may terminate the unfunded commitment. Unused funds received before satisfaction of those conditions must be segregated and returned within five Business Days after termination. Interest starts only when funds become available to the Company under a valid funding completion.</w:t>
      </w:r>
    </w:p>
    <w:p>
      <w:pPr>
        <w:pStyle w:val="Heading1"/>
      </w:pPr>
      <w:r>
        <w:t>3 Interest and permitted payments</w:t>
      </w:r>
    </w:p>
    <w:p>
      <w:r>
        <w:t>3.1 Interest equals outstanding principal multiplied by 0.08 multiplied by elapsed days divided by 365, calculated for each period in which principal is constant. Interest does not itself bear interest. The Conversion Balance means unpaid principal plus unpaid accrued interest at the relevant calculation date.</w:t>
      </w:r>
    </w:p>
    <w:p>
      <w:r>
        <w:t>3.2 Principal and interest convert at the same applicable Conversion Price, subject to lawful tax withholding under clause 11. No monthly coupon, automatic redemption premium, fixed equity percentage or guaranteed investment return is granted.</w:t>
      </w:r>
    </w:p>
    <w:p>
      <w:r>
        <w:t>3.3 Voluntary early repayment requires the Lender's written consent, so the Company cannot eliminate the conversion opportunity by unilateral prepayment. A repayment expressly due under the maturity, exit or default provisions does not require a second consent. Agreed prepayments are applied to accrued interest first, then principal, unless the Lender agrees otherwise.</w:t>
      </w:r>
    </w:p>
    <w:p>
      <w:r>
        <w:t>3.4 Following maturity, interest continues at 8% simple annually on principal actually outstanding until valid conversion or repayment. There is no separate penalty rate, compounding, maturity premium or interest on interest. Interest ceases on debt discharged by conversion or repayment. Insolvency law and mandatory limits prevail.</w:t>
      </w:r>
    </w:p>
    <w:p>
      <w:pPr>
        <w:pStyle w:val="Heading1"/>
      </w:pPr>
      <w:r>
        <w:t>4 Business purpose and use of funds</w:t>
      </w:r>
    </w:p>
    <w:p>
      <w:r>
        <w:t>4.1 Funds support DrinksHarbour's beverage marketplace and tenant software, including development, security, infrastructure, staffing, payment operations, onboarding and approved working capital. The business earns or intends to earn tenant subscription fees and gross spreads or commissions on fulfilled online sales under its tenant agreements. Those earnings are subject to payment, fulfilment, acquisition and operating costs; marketplace sales volume is not Company revenue or net profit. Contemplated services also include advertising, venue operations, loyalty, gifting and reorder subscriptions. This description does not warrant that all features are launched or generating revenue.</w:t>
      </w:r>
    </w:p>
    <w:p>
      <w:r>
        <w:t>4.2 Funds shall be used under Schedule 3. Personal expenditure, undisclosed founder repayments and shareholder distributions are prohibited. Disclosed ordinary founder salaries may be paid under the agreed budget. Tenant settlement balances, customer funds and taxes collected for remittance must remain separately accounted for.</w:t>
      </w:r>
    </w:p>
    <w:p>
      <w:r>
        <w:br w:type="page"/>
      </w:r>
    </w:p>
    <w:p>
      <w:pPr>
        <w:pStyle w:val="Heading1"/>
      </w:pPr>
      <w:r>
        <w:t>5 Conversion on equity financing</w:t>
      </w:r>
    </w:p>
    <w:p>
      <w:r>
        <w:t>5.1 A Qualifying Financing is a genuine arm's-length priced share issue for new cash meeting the stated threshold within one round, including related closings within ninety days. It must include an independent third-party investor; founder or affiliate payments cannot alone trigger it. The threshold is fixed at signature and is not increased by later unauthorised bridge borrowing.</w:t>
      </w:r>
    </w:p>
    <w:p>
      <w:r>
        <w:t>5.2 At the closing that reaches the threshold, the Conversion Balance automatically converts, subject to mandatory approvals and valid allotment, at the lower of: (a) 80% of the actual per-share cash subscription price paid by the new investors, including any share premium (Discount Price); and (b) the fixed pre-money cap divided by Conversion Capitalisation (Cap Price). Conversion Price cannot be below the legal minimum issue price for the shares; if that floor changes the result, it must be disclosed and approved before funding or resolved under clause 5.7.</w:t>
      </w:r>
    </w:p>
    <w:p>
      <w:r>
        <w:t>5.3 Conversion Capitalisation is the number of ordinary-equivalent shares immediately before conversion: all issued shares on an as-converted basis; shares underlying outstanding options, warrants and rights other than bridge instruments; and the reserved but ungranted option pool existing at the Funding Date and recorded in Schedule 2. It excludes this loan, other convertible bridge instruments, the shares issued on their conversion, new financing shares, and any option-pool enlargement required by the new financing. Existing holders' rights, instruments and pool must be fully disclosed.</w:t>
      </w:r>
    </w:p>
    <w:p>
      <w:r>
        <w:t>5.4 The number of shares issued equals the Conversion Balance divided by the Conversion Price. The Company shall provide the round documents, capitalisation denominator, both prices, share class rights and full dilution calculation at least ten Business Days before expected closing. A calculation dispute goes to an independent chartered accountant jointly appointed, or appointed on either party's request by the President of the Institute of Chartered Accountants of Nigeria if no agreement within five Business Days. The accountant acts as expert on arithmetic and accounting facts only, not legal disputes, and cannot alter commercial terms. The Company pays the reasonable expert fee unless the expert allocates it differently for unreasonable conduct.</w:t>
      </w:r>
    </w:p>
    <w:p>
      <w:r>
        <w:t>5.5 Conversion shares carry the same voting, dividend and shareholder protection rights as the financing shares, but any liquidation preference, redemption amount or similar monetary priority is based on the actual Conversion Price per share, with the same applicable multiple, not the higher cash-investor price. Where needed, use a separate equivalent class with those adjusted amounts. The Lender cannot be required to give operating warranties, a personal guarantee or obligations beyond its capacity as a shareholder. Financing documentation must be consistent with this Agreement.</w:t>
      </w:r>
    </w:p>
    <w:p>
      <w:r>
        <w:t>5.6 A financing below the threshold does not force conversion. The Lender may elect to convert in that round on the same pricing formula by written notice before closing. Otherwise the loan continues. Fractional shares shall be rounded down and the residual balance settled in cash; it is not forfeited.</w:t>
      </w:r>
    </w:p>
    <w:p>
      <w:r>
        <w:t>5.7 Debt is discharged only when shares are validly allotted, the Lender entered in the register and legally required conversion acts completed. The Company shall deliver resolutions, the updated capitalisation table and certificate or permitted equivalent promptly, and statutory filings within applicable deadlines. If conversion cannot lawfully complete, the balance remains debt. The parties have twenty Business Days to cure the obstacle, without delaying existing payment rights; no unilateral substitute security or invalid allotment discharges the loan.</w:t>
      </w:r>
    </w:p>
    <w:p>
      <w:r>
        <w:br w:type="page"/>
      </w:r>
    </w:p>
    <w:p>
      <w:pPr>
        <w:pStyle w:val="Heading1"/>
      </w:pPr>
      <w:r>
        <w:t>6 Maturity and valuation</w:t>
      </w:r>
    </w:p>
    <w:p>
      <w:r>
        <w:t>6.1 At least sixty days before maturity, the Company shall send a cash position, fundraising update, repayment forecast and proposed maturity options. Maturity does not give the Company a unilateral right to force conversion or extend repayment indefinitely.</w:t>
      </w:r>
    </w:p>
    <w:p>
      <w:r>
        <w:t>6.2 The Lender may elect in writing, during the thirty days before maturity and no later than maturity, to convert the entire Conversion Balance into ordinary shares. Those shares rank equally with existing ordinary shares and receive no liquidation preference. The maturity price is the lower of the Cap Price and 80% of an independent fair-value price per ordinary share, subject to the legal minimum issue price and clause 5.7.</w:t>
      </w:r>
    </w:p>
    <w:p>
      <w:r>
        <w:t>6.3 The independent valuer shall be a suitably qualified chartered accountant or corporate finance adviser with no material relationship to either party. Appointment is by agreement, or by the President of the Institute of Chartered Accountants of Nigeria on either party's request if no agreement within ten Business Days. The valuer shall assess the Company's pre-money equity value as a going concern at maturity, excluding this and the listed converting bridge balances from financial debt for this calculation, but taking account of other liabilities, actual revenue, technology, IP rights, financing prospects and business risk. Projections alone are not proof of value. That equity value divided by Conversion Capitalisation produces the fair-value price.</w:t>
      </w:r>
    </w:p>
    <w:p>
      <w:r>
        <w:t>6.4 The Company bears the reasonable valuation cost. The report must explain assumptions and calculations and be supplied to both parties. Either party may challenge fraud, manifest error or a departure from the agreed method; general commercial disagreement does not itself invalidate it. A zero or negative equity value does not create a zero conversion price. The ordinary repayment route applies unless the Lender expressly accepts a lawful positive-price conversion.</w:t>
      </w:r>
    </w:p>
    <w:p>
      <w:r>
        <w:t>6.5 If the report is delayed, the Lender may give a conditional conversion election by maturity, preserving its right to review the report. Within ten Business Days after receiving it, the Lender shall confirm conversion or withdraw the election. Principal remains payable under clause 6.6 pending valid conversion; any principal instalment paid reduces the Conversion Balance. There is no automatic waiver or indefinite payment suspension because valuation is pending.</w:t>
      </w:r>
    </w:p>
    <w:p>
      <w:r>
        <w:t>6.6 If no valid conversion completes, principal is repaid in six equal monthly instalments. The first falls one calendar month after maturity and the sixth six calendar months after maturity. Accrued unpaid interest through maturity is split equally across those six payments; additional interest on outstanding principal is paid with each monthly payment, using clause 3.1. If lawful conversion completes part-way through the schedule, the remaining debt converts and future debt payments cease. The Company remains responsible for timely payments and cannot promise solvency.</w:t>
      </w:r>
    </w:p>
    <w:p>
      <w:r>
        <w:t>6.7 Before maturity, both parties may sign a single extension of up to six months, stating the new date. Interest remains 8% simple, the cap and discount stay unchanged, and no fee or extra equity is added automatically. The same election and six-instalment repayment rules apply at the extended maturity. Silence is not agreement; a later extension requires a separately negotiated amendment.</w:t>
      </w:r>
    </w:p>
    <w:p>
      <w:r>
        <w:t>6.8 Inability to repay does not itself make a Founder personally liable. The Company shall disclose distress promptly; restructuring requires express agreement and cannot displace creditors' statutory rights.</w:t>
      </w:r>
    </w:p>
    <w:p>
      <w:r>
        <w:br w:type="page"/>
      </w:r>
    </w:p>
    <w:p>
      <w:pPr>
        <w:pStyle w:val="Heading1"/>
      </w:pPr>
      <w:r>
        <w:t>7 Exit insolvency and default</w:t>
      </w:r>
    </w:p>
    <w:p>
      <w:r>
        <w:t>7.1 A Change of Control means a sale of more than 50% of voting control, a merger transferring control, or a disposal of substantially all business assets, excluding a bona fide financing. Before an exit, the Company shall provide at least fifteen Business Days' notice and the sale economics where lawful.</w:t>
      </w:r>
    </w:p>
    <w:p>
      <w:r>
        <w:t>7.2 The Lender may elect either repayment of the Conversion Balance without premium at exit completion, or conversion immediately before the exit into ordinary shares at the lower of the Cap Price and 80% of the ordinary-equivalent per-share exit value, subject to a lawful positive price. For an asset sale, the ordinary-equivalent exit value is the net sale consideration after transaction costs, taxes and all non-converting creditor claims, divided by Conversion Capitalisation. In that hypothetical calculation, this loan and any bridge debt actually converting at the exit are excluded from creditor deductions; debt not converting is deducted. Actual distributions remain subject to law and the enlarged share count after conversion. An independent accountant shall resolve a calculation dispute under clause 5.4. Election is due five Business Days before closing; silence selects repayment.</w:t>
      </w:r>
    </w:p>
    <w:p>
      <w:r>
        <w:t>7.3 The Lender receives repayment OR shareholder sale proceeds on the converted shares, never both for the same balance. The Company shall not complete an exit without lawful provision for the elected treatment. A sale of assets is not a guarantee of funds to pay the debt; mandatory creditor priorities prevail.</w:t>
      </w:r>
    </w:p>
    <w:p>
      <w:r>
        <w:t>7.4 On insolvency or winding up before conversion, the Lender has an unsecured creditor claim for amounts lawfully due. This loan ranks with ordinary unsecured unsubordinated Company debt, subject to mandatory priorities and any separately signed lawful subordination. It is not secured over the platform, domain or founders' assets. Valid conversion extinguishes the relevant creditor claim and exposes the holder to shareholder risk.</w:t>
      </w:r>
    </w:p>
    <w:p>
      <w:r>
        <w:t>7.5 Events of Default are: failure to pay a due amount continuing for ten Business Days after written notice; a material contractual breach continuing for twenty Business Days after notice where remediable; material fraud or deliberate diversion of funds by the Company; or an insolvency event recognised under applicable law. Failure to achieve a forecast, launch date or fundraising target alone is not an Event of Default.</w:t>
      </w:r>
    </w:p>
    <w:p>
      <w:r>
        <w:t>7.6 On an Event of Default the Lender may, subject to law and any applicable moratorium, accelerate the unpaid principal and accrued interest by written notice. There is no automatic share forfeiture, transfer of platform IP or personal guarantee. A default does not entitle the Lender to both accelerated repayment and conversion proceeds. Lawful interim relief and proven damages remain available without double recovery.</w:t>
      </w:r>
    </w:p>
    <w:p>
      <w:pPr>
        <w:pStyle w:val="Heading1"/>
      </w:pPr>
      <w:r>
        <w:t>8 Information and lender protections</w:t>
      </w:r>
    </w:p>
    <w:p>
      <w:r>
        <w:t>8.1 Within thirty days after each quarter, the Company shall provide management accounts, cash balance and runway, budget variances, outstanding bridge debt and a product and tenant-growth update. Marketplace transaction value must be distinguished from Company revenue. Annual financial statements shall be provided within 120 days after year end, audited where required by law or separately agreed.</w:t>
      </w:r>
    </w:p>
    <w:p>
      <w:r>
        <w:t>8.2 Until discharge, prior Lender consent is required for bridge instruments above the Bridge Funding Limit; security or contractual subordination adversely affecting this loan; disposal or exclusive transfer of essential platform IP; distributions or buybacks; or undisclosed material related-party payments. Routine operating liabilities within the approved budget are permitted. Consent does not replace corporate approvals or prevent legally mandatory action; prompt notice shall be given. No board seat, daily management authority or unrestricted tenant-data access is granted before conversion.</w:t>
      </w:r>
    </w:p>
    <w:p>
      <w:r>
        <w:br w:type="page"/>
      </w:r>
    </w:p>
    <w:p>
      <w:pPr>
        <w:pStyle w:val="Heading1"/>
      </w:pPr>
      <w:r>
        <w:t>9 Platform ownership and disclosures</w:t>
      </w:r>
    </w:p>
    <w:p>
      <w:r>
        <w:t>9.1 The Company shall document assignments or sufficient licences for material software, brands, designs, domains and business systems, including contributions from Founders, employees and contractors. Third-party and open-source restrictions must be disclosed. Share conversion gives no direct ownership of a tenant's beverage business, stock or customer records.</w:t>
      </w:r>
    </w:p>
    <w:p>
      <w:r>
        <w:t>9.2 The Company shall maintain Company-controlled administrator access, backups, reasonable cybersecurity and tenant separation, and comply with applicable data, consumer, payments and beverage rules relevant to its actual operations. Investor reports shall use aggregate or de-identified tenant information where practical. Material incidents, litigation, fraud and insolvency risk shall be notified promptly, ordinarily within five Business Days after management awareness, without extending shorter statutory deadlines.</w:t>
      </w:r>
    </w:p>
    <w:p>
      <w:r>
        <w:t>9.3 The Company warrants at signature and funding that it is validly incorporated and authorised; the disclosed capitalisation and debt schedules are materially accurate; material IP limitations, debts, tax issues, disputes and related-party arrangements are fairly disclosed; and factual information supplied is not knowingly misleading. Each signing Shareholder warrants its authority and title to its listed shares and shall give effect to lawful approved conversion. No warranty of future returns or successful fundraising is made.</w:t>
      </w:r>
    </w:p>
    <w:p>
      <w:r>
        <w:t>9.4 The Lender warrants its capacity, lawful source of funds, disclosed beneficial ownership and compliance with applicable eligibility requirements. It acknowledges the risk of illiquid shares or loss on unsecured debt and the opportunity to seek independent advice. These acknowledgements do not excuse fraud or breach of express warranties.</w:t>
      </w:r>
    </w:p>
    <w:p>
      <w:r>
        <w:t>9.5 Disclosures must identify the affected warranty with enough detail to assess its scope. Each party remains responsible for its own breach. Founders give no guarantee of Company debts or business performance. No liability exclusion covers fraud, wilful misconduct or liability that cannot lawfully be limited.</w:t>
      </w:r>
    </w:p>
    <w:p>
      <w:pPr>
        <w:pStyle w:val="Heading1"/>
      </w:pPr>
      <w:r>
        <w:t>10 Confidentiality and transfer</w:t>
      </w:r>
    </w:p>
    <w:p>
      <w:r>
        <w:t>10.1 Non-public business, technical and personal information may be used only for this investment and lawful oversight. Disclosure is allowed to advisers bound by confidentiality, with consent, or as legally required. Public announcements naming another party require prior consent unless legally required. Confidentiality continues for three years after discharge; trade secrets remain protected while they qualify.</w:t>
      </w:r>
    </w:p>
    <w:p>
      <w:r>
        <w:t>10.2 The Lender may transfer this loan only with Company consent, not unreasonably withheld or delayed, to a transferee satisfying lawful eligibility and identity requirements who assumes its obligations. A transfer to a direct competitor may be refused on reasonable confidentiality grounds. The Company may not transfer its obligations without the Lender's written consent. Any post-conversion transfer must comply with law, articles and the applicable shareholders' agreement.</w:t>
      </w:r>
    </w:p>
    <w:p>
      <w:pPr>
        <w:pStyle w:val="Heading1"/>
      </w:pPr>
      <w:r>
        <w:t>11 Legal compliance and tax</w:t>
      </w:r>
    </w:p>
    <w:p>
      <w:r>
        <w:t>11.1 Before funding and conversion, Nigerian counsel shall confirm applicable corporate, securities, tax and regulatory approvals, investor eligibility, offering restrictions and filing requirements. Describing the loan as private does not establish a securities exemption. This Agreement authorises no public solicitation, pooled investment scheme or unlicensed lending activity.</w:t>
      </w:r>
    </w:p>
    <w:p>
      <w:r>
        <w:t>11.2 Interest and payments are subject to legally required withholding and reporting. The Company shall supply remittance evidence; there is no automatic tax gross-up. Counsel shall specify the treatment of withheld tax when interest converts so tax paid is not also counted as shares. Foreign investment, if relevant, must use an agreed lawful route and appropriate investment and remittance documentation. Each party bears its adviser costs; the Company pays its filing costs and expert costs expressly allocated above.</w:t>
      </w:r>
    </w:p>
    <w:p>
      <w:r>
        <w:br w:type="page"/>
      </w:r>
    </w:p>
    <w:p>
      <w:pPr>
        <w:pStyle w:val="Heading1"/>
      </w:pPr>
      <w:r>
        <w:t>12 Notices general terms and disputes</w:t>
      </w:r>
    </w:p>
    <w:p>
      <w:r>
        <w:t>12.1 Notice details are in Schedule 4. Notices shall be sent by email; default, termination and formal dispute notices shall also be sent by courier. Email is received on acknowledgement or the next Business Day after transmission if no delivery failure is received; courier on recorded delivery. Updated details must be notified in writing.</w:t>
      </w:r>
    </w:p>
    <w:p>
      <w:r>
        <w:t>12.2 Nigerian law governs. Mandatory law and creditor priorities prevail. This Agreement and its signed schedules and disclosure letter form the entire agreement. Amendments require Company and Lender signatures and the signature or valid consent of any holder whose rights or obligations are affected. No delay implies waiver. Invalid provisions are severed only so far as lawful without defeating the agreed purpose.</w:t>
      </w:r>
    </w:p>
    <w:p>
      <w:r>
        <w:t>12.3 The parties shall attempt resolution through authorised representatives for fifteen Business Days after written dispute notice. Unresolved arbitrable disputes are finally determined by one arbitrator under the Arbitration and Mediation Act 2023, seated in Abuja, in English. Appointment is by agreement within fifteen Business Days after the arbitration request, failing which through the competent court under the applicable Act. Urgent interim relief, non-arbitrable matters and mandatory statutory remedies remain available in the competent court. Expert calculation determinations under this Agreement do not decide legal disputes.</w:t>
      </w:r>
    </w:p>
    <w:p>
      <w:r>
        <w:t>12.4 Counterparts and electronic signatures are permitted to the extent legally effective. Counsel shall confirm execution formalities and signatory authority. Loan obligations survive until lawfully discharged. Confidentiality, accrued claims, dispute terms and applicable post-conversion obligations survive as stated.</w:t>
      </w:r>
    </w:p>
    <w:p>
      <w:pPr>
        <w:pStyle w:val="Heading1"/>
      </w:pPr>
      <w:r>
        <w:t>Schedule 2 Capitalisation and approved bridge instruments</w:t>
      </w:r>
    </w:p>
    <w:p>
      <w:r>
        <w:t>Attach the fully diluted cap table identifying every holder, share class, option, warrant, reserved pool, preference, convertible instrument and required waiver. State issued ordinary-equivalent shares: [NUMBER]; outstanding non-bridge option and warrant equivalents: [NUMBER]; Funding Date reserved pool: [NUMBER]. Conversion Capitalisation is the total under clause 5.3, updated for lawful changes.</w:t>
      </w:r>
    </w:p>
    <w:p>
      <w:r>
        <w:t>List each bridge lender, original principal, currency, cap, discount, interest, maturity, ranking and conversion class. Existing committed bridge principal: NGN [AMOUNT]. This loan: NGN [AMOUNT]. Agreed headroom for further disclosed bridge funding: NGN [AMOUNT]. Sum and fixed Bridge Funding Limit: NGN [AMOUNT]. This loan's pre-money cap is fixed at NGN 35,000,000 and is not calculated from that limit. The financing threshold remains twice the Bridge Funding Limit; enter the agreed numerical limit and threshold in clause 1 before signature. No default or unlimited headroom applies. Show the fully diluted effect of all outstanding bridge balances at the fixed cap before accepting further funding.</w:t>
      </w:r>
    </w:p>
    <w:p>
      <w:r>
        <w:t>List approvals, pre-emption waivers and agreed conversion share rights: [DETAILS]. An additional bridge issue must not use a lower cap or greater discount than this loan without the Lender's prior written consent while this loan remains outstanding. This is a consent right, not an automatic replacement of terms.</w:t>
      </w:r>
    </w:p>
    <w:p>
      <w:pPr>
        <w:pStyle w:val="Heading1"/>
      </w:pPr>
      <w:r>
        <w:t>Schedule 3 Use of funds and budget</w:t>
      </w:r>
    </w:p>
    <w:p>
      <w:r>
        <w:t>Development and security: NGN [AMOUNT]. Infrastructure and payment operations: NGN [AMOUNT]. Staffing and disclosed founder salaries: NGN [AMOUNT]. Tenant onboarding and customer acquisition: NGN [AMOUNT]. Legal, compliance and working capital: NGN [AMOUNT]. Total: NGN [PRINCIPAL].</w:t>
      </w:r>
    </w:p>
    <w:p>
      <w:r>
        <w:t>Budget period and reporting milestones: [DETAILS]. Milestones are operating targets and reporting obligations, not guaranteed outcomes or additional funding commitments. Related-party payments: [DETAILS OR NONE]. Reallocation of more than 20% of a budget category requires written Lender consent while the loan is outstanding.</w:t>
      </w:r>
    </w:p>
    <w:p>
      <w:r>
        <w:br w:type="page"/>
      </w:r>
    </w:p>
    <w:p>
      <w:pPr>
        <w:pStyle w:val="Heading1"/>
      </w:pPr>
      <w:r>
        <w:t>Schedule 4 Closing documents signatures and disclosures</w:t>
      </w:r>
    </w:p>
    <w:p>
      <w:r>
        <w:t>Company notice email and address: [DETAILS]. Lender notice email and address: [DETAILS]. Beneficial owners and each signing Shareholder's details: [DETAILS]. Signed disclosure letter dated [DATE] shall address share rights, debts, tax, disputes, IP, founder interests, security incidents and current product launch and revenue status.</w:t>
      </w:r>
    </w:p>
    <w:p>
      <w:r>
        <w:t>Attach incorporation evidence, articles, shareholder and director approvals, updated registers and capitalisation table, bridge schedule, conversion consents, signed disclosure letter, material IP assignments and licences, approved budget, verified bank account, identity and source-of-funds evidence and required regulatory approvals. Filing responsibility: [NAME AND ROLE].</w:t>
      </w:r>
    </w:p>
    <w:p>
      <w:r>
        <w:t>The Company and Lender shall initial completed schedules. Each existing Shareholder whose voting commitment or rights are relied upon must sign the undertaking below or a counsel-approved equivalent. No non-signing holder is bound merely by being listed.</w:t>
      </w:r>
    </w:p>
    <w:p>
      <w:r>
        <w:t>For the Company: [REGISTERED COMPANY NAME]</w:t>
      </w:r>
    </w:p>
    <w:p>
      <w:r>
        <w:t>Authorised signature: ____________________</w:t>
      </w:r>
    </w:p>
    <w:p>
      <w:r>
        <w:t>Name: [NAME] Title: [TITLE] Date: [DATE]</w:t>
      </w:r>
    </w:p>
    <w:p>
      <w:r>
        <w:t>Additional authorised signatory if required: ____________________</w:t>
      </w:r>
    </w:p>
    <w:p>
      <w:r>
        <w:t>Name and title: [DETAILS] Date: [DATE]</w:t>
      </w:r>
    </w:p>
    <w:p>
      <w:r>
        <w:t>Lender: [FULL LEGAL NAME]</w:t>
      </w:r>
    </w:p>
    <w:p>
      <w:r>
        <w:t>Signature: ____________________</w:t>
      </w:r>
    </w:p>
    <w:p>
      <w:r>
        <w:t>Name and capacity: [DETAILS] Date: [DATE]</w:t>
      </w:r>
    </w:p>
    <w:p>
      <w:r>
        <w:t>Shareholder undertaking: I agree to my obligations under clauses 2.2 and 9.3 and to the conversion consents expressly agreed in Schedule 2. I do not personally guarantee the loan.</w:t>
      </w:r>
    </w:p>
    <w:p>
      <w:r>
        <w:t>Shareholder name: [FULL NAME] Shares: [NUMBER AND CLASS]</w:t>
      </w:r>
    </w:p>
    <w:p>
      <w:r>
        <w:t>Signature: ____________________ Date: [DATE]</w:t>
      </w:r>
    </w:p>
    <w:p>
      <w:r>
        <w:t>Repeat the undertaking for every required Shareholder. Witness for an individual signature where required: signature ____________________ Name [NAME] Address [ADDRESS] Occupation [OCCUPATION]. Counsel shall confirm the appropriate execution method for each party.</w:t>
      </w:r>
    </w:p>
    <w:p>
      <w:r>
        <w:br w:type="page"/>
      </w:r>
    </w:p>
    <w:p>
      <w:pPr>
        <w:pStyle w:val="Heading1"/>
      </w:pPr>
      <w:r>
        <w:t>Conversion examples and proposed term rationale</w:t>
      </w:r>
    </w:p>
    <w:p>
      <w:r>
        <w:t>This appendix illustrates the formulas and records negotiation reasoning. Its example amounts are not agreed transaction terms and do not represent a valuation of DrinksHarbour. The operative clauses prevail.</w:t>
      </w:r>
    </w:p>
    <w:p>
      <w:r>
        <w:t>A 20% discount rewards funding before a priced equity round: if new investors pay NGN 100 per share, the Discount Price is NGN 80. Shares still depend on the balance, cap and capitalisation; the discount grants no fixed ownership percentage.</w:t>
      </w:r>
    </w:p>
    <w:p>
      <w:r>
        <w:t>The 8% simple interest proposal reduces cash demands during development while increasing the amount eligible to convert. It is a negotiated bridge term with equity upside, not a claim about current Nigerian bank lending rates or compensation for inflation. Twenty-four months permits a defined development and fundraising period; repayment risk remains real if a round does not occur. An extension requires written consent.</w:t>
      </w:r>
    </w:p>
    <w:p>
      <w:r>
        <w:t>The proposed pre-money valuation cap is fixed at NGN 35 million at the Company's request. It replaces the earlier ten-times-bridge-limit proposal and is independent of the amount invested. It reflects the requested conversion pricing basis for DrinksHarbour's combined software and marketplace business; no forecast online sales are represented as actual revenue. At this cap, larger loans can result in substantial founder dilution, especially when accrued interest and other convertible balances also convert.</w:t>
      </w:r>
    </w:p>
    <w:p>
      <w:r>
        <w:t>Assume a single NGN 5 million loan, a NGN 5 million Bridge Funding Limit, the fixed NGN 35 million cap, 730 elapsed days, no repayments or withholding, 10 million ordinary-equivalent pre-conversion shares, no other bridge instruments, and a later round raising NGN 20 million at NGN 8 per share. The threshold is NGN 10 million, so the round qualifies. The NGN 5 million loan and other example inputs are illustrative only; the actual Principal remains blank.</w:t>
      </w:r>
    </w:p>
    <w:p>
      <w:r>
        <w:t>Accrued interest = NGN 5,000,000 x 8% x 730 / 365 = NGN 800,000. Conversion Balance = NGN 5,800,000.</w:t>
      </w:r>
    </w:p>
    <w:p>
      <w:r>
        <w:t>Discount Price = NGN 8 x 80% = NGN 6.40. Cap Price = NGN 35,000,000 / 10,000,000 = NGN 3.50. Conversion Price = NGN 3.50, the lower price; the discount is not applied again to that cap price.</w:t>
      </w:r>
    </w:p>
    <w:p>
      <w:r>
        <w:t>Lender conversion shares before rounding = NGN 5,800,000 / NGN 3.50 = 1,657,142.857142 shares. Clause 5.6 gives 1,657,142 whole shares and a NGN 3 residual cash payment. New cash investor shares = NGN 20,000,000 / NGN 8 = 2,500,000.</w:t>
      </w:r>
    </w:p>
    <w:p>
      <w:r>
        <w:t>Post-round total = 10,000,000 + 1,657,142 + 2,500,000 = 14,157,142 shares. The Lender holds approximately 11.71%; existing holders 70.64%; new cash investors 17.66%. Before the new money shares, the Lender holds approximately 14.22%. Displayed percentages are rounded independently and may not total exactly 100%. Other convertibles, options and differing share rights can change these results.</w:t>
      </w:r>
    </w:p>
    <w:p>
      <w:r>
        <w:t>If conversion never occurs and repayment follows clause 6.6, the 730-day illustrative balance of NGN 5.8 million is split into six base payments of approximately NGN 966,666.67, with rounding corrected in the final payment, PLUS ongoing 8% simple interest on the declining unpaid principal. This base amount is not the complete repayment cost. The Company must assess affordability from its actual cash flows; neither the cap nor expected online sales assures repayment.</w:t>
      </w:r>
    </w:p>
    <w:p>
      <w:r>
        <w:t>If the round instead prices shares at NGN 3, the Discount Price is NGN 2.40, below the NGN 3.50 Cap Price. Conversion then uses NGN 2.40, subject to the legal minimum issue price, demonstrating that the cap is a maximum valuation basis and the Lender may receive a lower conversion price.</w:t>
      </w:r>
    </w:p>
    <w:p>
      <w:r>
        <w:t>Research benchmark: the historical UK Future Fund used a 20% discount, at least 8% interest and 36-month maturity. It is a closed UK programme, not Nigerian law or a current Nigerian market quotation. This draft instead proposes 24 months and separately negotiated cap and maturity protections. Source: https://www.british-business-bank.co.uk/about/frequently-asked-questions/future-fund</w:t>
      </w:r>
    </w:p>
    <w:p>
      <w:r>
        <w:t>Nigerian offering compliance must be assessed separately under applicable law, including the Investments and Securities Act 2025 and relevant SEC rules for private-company debt securities. Source: https://sec.gov.ng/documents/1323/New-Rules-and-sundry-amendments-April-2025.pdf</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Convertible Loan Agreement</dc:title>
  <dc:subject>Convertible bridge loan review draft</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