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DrinksHarbour Investor Agreement</w:t>
      </w:r>
    </w:p>
    <w:p>
      <w:r>
        <w:rPr>
          <w:b/>
          <w:sz w:val="18"/>
        </w:rPr>
        <w:t>DRAFT FOR NEGOTIATION AND LEGAL REVIEW</w:t>
      </w:r>
    </w:p>
    <w:p>
      <w:r>
        <w:t>Share Subscription and Shareholders Agreement</w:t>
      </w:r>
    </w:p>
    <w:p>
      <w:r>
        <w:t>This Agreement records a proposed investment in the company operating the DrinksHarbour technology business. The Investor subscribes for newly issued ordinary shares, and the parties agree funding, governance, information and transfer rights. All bracketed fields must be completed and the schedules agreed before execution.</w:t>
      </w:r>
    </w:p>
    <w:p>
      <w:r>
        <w:t>This Agreement covers only the ordinary equity subscription described in its completed schedules. A separate advertising loan, convertible loan or software licence does not form part of this Agreement unless expressly identified in a signed amendment. No valuation or funding figure in another proposal is incorporated by reference.</w:t>
      </w:r>
    </w:p>
    <w:p>
      <w:pPr>
        <w:pStyle w:val="Heading1"/>
      </w:pPr>
      <w:r>
        <w:t>1 Parties and effective date</w:t>
      </w:r>
    </w:p>
    <w:p>
      <w:r>
        <w:t>1.1 Company: [REGISTERED COMPANY NAME], a company incorporated in Nigeria with RC number [NUMBER] and registered office at [ADDRESS], operating the DrinksHarbour brand and drinksharbour.com (Company).</w:t>
      </w:r>
    </w:p>
    <w:p>
      <w:r>
        <w:t>1.2 Investor: [FULL LEGAL NAME], [individual or entity and registration details], of [ADDRESS] (Investor).</w:t>
      </w:r>
    </w:p>
    <w:p>
      <w:r>
        <w:t>1.3 Existing Shareholders: each person listed in Schedule 2, including [FOUNDER NAMES], who signs this Agreement (Shareholders). Obligations imposed on Shareholders bind only those who sign. All existing holders must sign or give the separately documented consents required at Completion.</w:t>
      </w:r>
    </w:p>
    <w:p>
      <w:r>
        <w:t>1.4 Effective Date: [DATE OF LAST SIGNATURE]. Business Day means a day other than Saturday, Sunday or a public holiday in Abuja, Nigeria. Completion means the exchange of cleared subscription funds and valid allotment of the Subscription Shares under clause 2.</w:t>
      </w:r>
    </w:p>
    <w:p>
      <w:pPr>
        <w:pStyle w:val="Heading1"/>
      </w:pPr>
      <w:r>
        <w:t>Schedule 1 Investment terms</w:t>
      </w:r>
    </w:p>
    <w:p>
      <w:r>
        <w:t>Investment amount: NGN 5,000,000 (five million naira), payable to the Company as a subscription for newly issued shares.</w:t>
      </w:r>
    </w:p>
    <w:p>
      <w:r>
        <w:t>Pre-money equity valuation: NGN 95,000,000. Post-money equity valuation: NGN 100,000,000. These are the transaction valuations implied by NGN 5,000,000 for 5% immediately after Completion, not an independent appraisal.</w:t>
      </w:r>
    </w:p>
    <w:p>
      <w:r>
        <w:t>Subscription Shares: C divided by 19 ordinary shares, where C is the verified number of existing ordinary shares defined in Schedule 2; nominal value: the existing ordinary share nominal value recorded in the Company's articles and register. Subscription price including premium: NGN 95,000,000 divided by C per share. Enter the resulting whole-share counts and exact price in the signed closing capitalisation annex before Completion.</w:t>
      </w:r>
    </w:p>
    <w:p>
      <w:r>
        <w:t>Investor ownership immediately after Completion: exactly 5% of issued ordinary shares, voting rights and fully diluted equity on the closing basis defined in Schedule 2. Existing holders collectively retain 95%. This percentage applies at Completion and may dilute on subsequent lawful issues under clause 6.5.</w:t>
      </w:r>
    </w:p>
    <w:p>
      <w:r>
        <w:t>The investment is a new Company share issue. No part of the NGN 5,000,000 is consideration paid to an existing shareholder for selling personal shares.</w:t>
      </w:r>
    </w:p>
    <w:p>
      <w:r>
        <w:t>Payment and Completion date: [DATE]. Long-stop date: [DATE]. Funding is a single payment unless a separately signed tranche schedule replaces it.</w:t>
      </w:r>
    </w:p>
    <w:p>
      <w:r>
        <w:t>Company receiving bank account: [BANK, ACCOUNT NAME AND NUMBER]. Funds must not be paid to a founder's personal account.</w:t>
      </w:r>
    </w:p>
    <w:p>
      <w:r>
        <w:t>Investor consent rights apply while the Investor holds at least [PERCENTAGE]% of issued voting shares. Board observer right: [YES OR NO]; if YES, minimum holding: [PERCENTAGE]%.</w:t>
      </w:r>
    </w:p>
    <w:p>
      <w:r>
        <w:t>Debt threshold outside the approved budget: NGN [AMOUNT]. Related-party transaction threshold: NGN [AMOUNT]. Budget category reallocation threshold: [PERCENTAGE]%.</w:t>
      </w:r>
    </w:p>
    <w:p>
      <w:r>
        <w:t>All figures must reconcile to Schedule 2. No investment amount, ownership percentage or valuation is agreed merely by leaving a field blank.</w:t>
      </w:r>
    </w:p>
    <w:p>
      <w:pPr>
        <w:pStyle w:val="Heading1"/>
        <w:pageBreakBefore/>
      </w:pPr>
      <w:r>
        <w:t>2 Subscription and Completion</w:t>
      </w:r>
    </w:p>
    <w:p>
      <w:r>
        <w:t>2.1 The Investor agrees to subscribe for the Subscription Shares for the investment amount in Schedule 1. The shares rank equally with existing ordinary shares for voting, dividends and distributions, subject to applicable law and the Company's articles. No preference, guaranteed yield, redemption right or anti-dilution price adjustment is created by this Agreement.</w:t>
      </w:r>
    </w:p>
    <w:p>
      <w:r>
        <w:t>2.2 Completion is conditional on: verified incorporation and capacity of the Company; delivery of current articles and an accurate fully diluted capitalisation table; required corporate approvals and compliance with or valid waiver of applicable pre-emption rights; signature or necessary consent of existing holders; satisfactory identity and source-of-funds checks; agreed disclosure letter and budget; documented ownership or adequate licences for material platform IP; and any regulatory approvals required for this transaction. A condition cannot be waived where mandatory law requires it.</w:t>
      </w:r>
    </w:p>
    <w:p>
      <w:r>
        <w:t>2.3 The Company shall provide the conditions documents at least five Business Days before Completion. The Investor may refuse Completion if a condition remains unsatisfied or a material warranty is inaccurate. Any waiver of a contractual condition must be express and written.</w:t>
      </w:r>
    </w:p>
    <w:p>
      <w:r>
        <w:t>2.4 At Completion, the Investor transfers cleared funds to the verified Company account and the Company validly allots the Subscription Shares, enters the Investor in its register of members and delivers signed allotment resolutions and an updated capitalisation table. The parties shall coordinate payment and allotment through [AGREED CLOSING MECHANISM OR SOLICITOR ESCROW]. Subscription funds received early must remain segregated and unused pending Completion.</w:t>
      </w:r>
    </w:p>
    <w:p>
      <w:r>
        <w:t>2.5 The Company shall deliver a share certificate or legally permitted equivalent within ten Business Days after Completion, and make required allotment, beneficial ownership and related filings within applicable statutory periods. It shall provide filing evidence promptly. Counsel shall confirm the current filing periods before execution.</w:t>
      </w:r>
    </w:p>
    <w:p>
      <w:r>
        <w:t>2.6 If Completion has not occurred by the long-stop date, either non-defaulting party may terminate the uncompleted subscription by written notice. The Company shall return any unallotted subscription money within five Business Days, without deduction except a bank charge expressly agreed in writing. This does not extinguish claims for prior breach.</w:t>
      </w:r>
    </w:p>
    <w:p>
      <w:r>
        <w:t>2.7 Partial funding creates no entitlement to the full Subscription Shares. A partial closing or staged funding requires a signed amendment specifying the shares issued for each payment, objective milestone tests, evidence, deadlines, dispute procedure and consequences of non-payment. No shares are issued for an unpaid future commitment.</w:t>
      </w:r>
    </w:p>
    <w:p>
      <w:pPr>
        <w:pStyle w:val="Heading1"/>
      </w:pPr>
      <w:r>
        <w:t>3 Nature of the investment</w:t>
      </w:r>
    </w:p>
    <w:p>
      <w:r>
        <w:t>3.1 The investment is equity in the Company operating DrinksHarbour. It gives no direct ownership of a tenant's business, stock, customer account or beverage catalogue entry. The Investor receives only the shares and rights expressly agreed here.</w:t>
      </w:r>
    </w:p>
    <w:p>
      <w:r>
        <w:t>3.2 Equity is illiquid and may lose its entire value. No party guarantees profit, dividends, capital repayment, a funding round, an acquisition or a listing. Projections are estimates; this acknowledgement does not excuse fraud or a false contractual warranty.</w:t>
      </w:r>
    </w:p>
    <w:p>
      <w:pPr>
        <w:pStyle w:val="Heading1"/>
        <w:pageBreakBefore/>
      </w:pPr>
      <w:r>
        <w:t>4 Business scope and use of funds</w:t>
      </w:r>
    </w:p>
    <w:p>
      <w:r>
        <w:t>4.1 DrinksHarbour is a beverage technology business intended to provide a central marketplace, tenant business management software, storefronts and operational tools. Its contemplated revenue streams include marketplace commissions, software subscriptions, advertising, venue services, gifting and reorder subscriptions, and later distribution. This description does not represent that every feature is launched or profitable.</w:t>
      </w:r>
    </w:p>
    <w:p>
      <w:r>
        <w:t>The platform's paying beverage businesses are Tenants. The platform maintains a central product catalogue; Tenants operate their own selling listings, pricing and stock. This technology investment conveys no proprietary interest in a Tenant's separate assets or in external suppliers.</w:t>
      </w:r>
    </w:p>
    <w:p>
      <w:r>
        <w:t>4.2 The Company shall use the investment for the acquisition campaign budget in Schedule 3, including paid advertising, campaign creative and landing improvements, tenant onboarding, shopper conversion support, attribution and contingency. Customer money, tenant settlement balances and taxes collected for remittance must be accounted for separately from Company revenue and investment capital.</w:t>
      </w:r>
    </w:p>
    <w:p>
      <w:r>
        <w:t>4.3 Investment funds must not be used for personal expenses, undisclosed founder debt repayment or distributions to shareholders outside this Agreement and applicable law. Founder compensation and any related-party payments must be disclosed and approved in the budget or under clause 6.</w:t>
      </w:r>
    </w:p>
    <w:p>
      <w:r>
        <w:t>4.4 Management may reallocate spending within the approved budget, subject to the threshold in Schedule 1. Reallocations above that threshold require board approval and, while applicable, Investor consent. A departure from a forecast or target alone is not a breach; diversion of funds or a knowingly false progress report may be.</w:t>
      </w:r>
    </w:p>
    <w:p>
      <w:pPr>
        <w:pStyle w:val="Heading1"/>
      </w:pPr>
      <w:r>
        <w:t>5 Intellectual property and operating safeguards</w:t>
      </w:r>
    </w:p>
    <w:p>
      <w:r>
        <w:t>5.1 The Company shall obtain written assignments of all founder, employee and contractor rights in the source code, product designs, brand assets and other proprietary work necessary to operate DrinksHarbour, to the extent those rights are assignable. Any third-party, open-source or pre-existing rights excluded from assignment must be identified in the disclosure letter with their licence terms and operational limitations.</w:t>
      </w:r>
    </w:p>
    <w:p>
      <w:r>
        <w:t>5.2 The Company shall control the business domain, hosting, repositories, payment accounts and material service accounts through authorised Company administrators. It shall maintain backups, access controls and a documented handover process. Founders must not retain an undisclosed exclusive ability to disable the business.</w:t>
      </w:r>
    </w:p>
    <w:p>
      <w:r>
        <w:t>5.3 The Investor acquires no personal right to copy, sell or use platform code, confidential information or customer data. Share ownership does not entitle the Investor to production credentials or unrestricted access to tenant records.</w:t>
      </w:r>
    </w:p>
    <w:p>
      <w:r>
        <w:t>5.4 The Company shall maintain reasonable cybersecurity measures, tenant separation and lawful handling of personal information. Investor reporting shall use aggregate or de-identified information where practical. Material security incidents, loss of essential IP rights or loss of an essential operating licence shall be reported under clause 7.</w:t>
      </w:r>
    </w:p>
    <w:p>
      <w:r>
        <w:t>5.5 The Company shall comply with applicable consumer, data protection, payment, advertising and beverage-related rules relevant to its actual activities, including lawful age restrictions on alcohol sales. No provision assumes that an unfinished software gate constitutes legal compliance.</w:t>
      </w:r>
    </w:p>
    <w:p>
      <w:pPr>
        <w:pStyle w:val="Heading1"/>
        <w:pageBreakBefore/>
      </w:pPr>
      <w:r>
        <w:t>6 Management and shareholder protections</w:t>
      </w:r>
    </w:p>
    <w:p>
      <w:r>
        <w:t>6.1 The board manages the Company and appoints management in accordance with law and the articles. The Investor has no authority to bind the Company or direct daily operations solely by holding shares. The agreed board composition at Completion is [NAMES AND APPOINTMENT RIGHTS]. No Investor board seat is granted unless expressly entered here and implemented in the articles.</w:t>
      </w:r>
    </w:p>
    <w:p>
      <w:r>
        <w:t>6.2 If Schedule 1 grants an observer right, the Investor may nominate one non-voting observer to attend board meetings and receive the same meeting materials. The board may exclude that observer only to protect legal privilege, address an actual conflict of interest or comply with law, giving reasons where lawful. An observer has no director vote or power.</w:t>
      </w:r>
    </w:p>
    <w:p>
      <w:r>
        <w:t>6.3 While the Investor meets the consent holding threshold, the Company and signing Shareholders shall not approve or implement the following without the Investor's prior written consent: an issue of shares, options or convertible securities other than grants within an expressly approved option pool; a change adversely affecting the Investor's share rights; amendment of the articles affecting these rights; sale or exclusive disposal of material platform IP or substantially all business assets; a merger, winding up or fundamental change in business; borrowing outside the approved budget above the debt threshold; a related-party transaction above the stated threshold; or a dividend, buyback or capital reduction.</w:t>
      </w:r>
    </w:p>
    <w:p>
      <w:r>
        <w:t>6.4 Consent is an additional contractual requirement and does not replace corporate approvals. Silence is not consent. The Investor shall respond with approval or reasons within ten Business Days after receiving sufficient information. A refusal may be discussed under clause 14; lawful urgent action necessary to prevent insolvency or comply with a legal duty is not prohibited by this clause, with prompt notice to the Investor.</w:t>
      </w:r>
    </w:p>
    <w:p>
      <w:r>
        <w:t>6.5 Before a cash issue of new shares, the Company shall offer the Investor its proportionate entitlement on the same terms, with at least fifteen Business Days to accept, subject to applicable law and any stricter articles requirement. Any permitted exception, including an agreed employee option pool, must be expressly identified in Schedule 2. If the Investor does not participate, its percentage may dilute.</w:t>
      </w:r>
    </w:p>
    <w:p>
      <w:r>
        <w:t>6.6 Each signing Shareholder shall exercise its lawful voting rights to implement this Agreement. The parties shall adopt consistent articles at Completion. Mandatory law prevails; between signing parties, a contractual inconsistency must be resolved by lawful amendment, not by treating an invalid corporate act as valid.</w:t>
      </w:r>
    </w:p>
    <w:p>
      <w:pPr>
        <w:pStyle w:val="Heading1"/>
      </w:pPr>
      <w:r>
        <w:t>7 Information rights</w:t>
      </w:r>
    </w:p>
    <w:p>
      <w:r>
        <w:t>7.1 Within thirty days after each quarter, the Company shall provide management accounts, cash balance and runway, budget variances, and a concise progress report. Reports should distinguish gross marketplace transaction value from Company revenue and include available tenant subscription, retention and settlement indicators.</w:t>
      </w:r>
    </w:p>
    <w:p>
      <w:r>
        <w:t>7.2 Annual financial statements shall be supplied within 120 days after the financial year end, with an audit where legally required or otherwise agreed. Reasonable inspection of financial records is permitted on ten Business Days' notice, during business hours, subject to confidentiality, privilege and data protection.</w:t>
      </w:r>
    </w:p>
    <w:p>
      <w:r>
        <w:t>7.3 The Company shall notify the Investor promptly, ordinarily within five Business Days after management becomes aware, of material litigation, suspected material fraud, insolvency risk or a material operational or security incident. This contractual period does not extend any shorter legal reporting deadline.</w:t>
      </w:r>
    </w:p>
    <w:p>
      <w:pPr>
        <w:pStyle w:val="Heading1"/>
        <w:pageBreakBefore/>
      </w:pPr>
      <w:r>
        <w:t>8 Dividends and exits</w:t>
      </w:r>
    </w:p>
    <w:p>
      <w:r>
        <w:t>8.1 Dividends may be declared only from legally distributable amounts following required approvals and prudent consideration of working capital. Ordinary shares participate according to their rights and holdings. There is no automatic distribution of marketplace GMV or tenant subscription receipts to the Investor.</w:t>
      </w:r>
    </w:p>
    <w:p>
      <w:r>
        <w:t>8.2 An exit may occur through a permitted share sale, acquisition, lawful Company buyback or other agreed transaction. No exit date or minimum sale value is promised. A buyback is subject to law, available funds and required approvals; the Investor cannot demand that the Company repay the investment merely because an anticipated exit has not occurred.</w:t>
      </w:r>
    </w:p>
    <w:p>
      <w:r>
        <w:t>8.3 On winding up, creditors and legally senior claims are paid before any ordinary shareholder distribution. Remaining amounts are distributed according to the share rights. These ordinary shares have no separate liquidation preference.</w:t>
      </w:r>
    </w:p>
    <w:p>
      <w:pPr>
        <w:pStyle w:val="Heading1"/>
      </w:pPr>
      <w:r>
        <w:t>9 Share transfers</w:t>
      </w:r>
    </w:p>
    <w:p>
      <w:r>
        <w:t>9.1 No party may transfer shares in breach of law, the articles or existing binding restrictions disclosed at Completion. A permitted transferee must first sign a deed of adherence to the continuing shareholder provisions. Statutory restrictions on membership and transfers remain applicable.</w:t>
      </w:r>
    </w:p>
    <w:p>
      <w:r>
        <w:t>9.2 A Shareholder proposing a third-party sale shall give the other Shareholders a written notice identifying the buyer, number of shares, price and material terms. The other Shareholders have twenty Business Days to elect to acquire the offered shares proportionately, subject to mandatory rights and any stricter articles provisions. If not fully accepted, the seller may sell the remaining shares within sixty Business Days on terms no more favourable to the buyer, failing which a new notice is required.</w:t>
      </w:r>
    </w:p>
    <w:p>
      <w:r>
        <w:t>9.3 If a proposed third-party sale would transfer more than 50% of voting shares or otherwise control of the Company, each non-selling Shareholder may require the buyer to purchase the same proportion of its shares on the same economic terms. The selling parties shall give at least twenty Business Days' notice. A control sale must not complete unless the buyer honours properly exercised tag-along rights.</w:t>
      </w:r>
    </w:p>
    <w:p>
      <w:r>
        <w:t>9.4 No drag-along right is granted by this draft. A right requiring minority holders to sell must be separately negotiated, approved by the affected holders and reflected in the articles and definitive agreement. No Shareholder is compelled to sell merely by a board decision.</w:t>
      </w:r>
    </w:p>
    <w:p>
      <w:r>
        <w:t>9.5 Founder vesting, compulsory transfers and good-leaver or bad-leaver rules do not apply unless separately agreed in writing with the affected founders. No automatic forfeiture of fully paid shares occurs on departure or breach.</w:t>
      </w:r>
    </w:p>
    <w:p>
      <w:pPr>
        <w:pStyle w:val="Heading1"/>
      </w:pPr>
      <w:r>
        <w:t>10 Confidentiality</w:t>
      </w:r>
    </w:p>
    <w:p>
      <w:r>
        <w:t>10.1 Each party shall protect non-public business, financial, technical and personal information received through this Agreement and use it only for the investment and legitimate governance purposes. Disclosure is permitted to advisers bound by confidentiality, with consent, or where legally required. Legally required disclosure shall be notified in advance where lawful.</w:t>
      </w:r>
    </w:p>
    <w:p>
      <w:r>
        <w:t>10.2 Information independently developed, lawfully received without restriction or already public without breach is excluded. Confidentiality continues for three years after a party ceases to hold shares or the uncompleted subscription ends; trade secrets remain protected while they qualify as trade secrets. Public announcements naming another party require its prior consent except where law requires disclosure.</w:t>
      </w:r>
    </w:p>
    <w:p>
      <w:pPr>
        <w:pStyle w:val="Heading1"/>
        <w:pageBreakBefore/>
      </w:pPr>
      <w:r>
        <w:t>11 Warranties and disclosures</w:t>
      </w:r>
    </w:p>
    <w:p>
      <w:r>
        <w:t>11.1 At signature and Completion, the Company warrants that it is validly incorporated and authorised to enter this Agreement; Schedule 2 accurately states its share capital and disclosed rights to acquire shares; the Subscription Shares will be validly issued, fully paid and free of undisclosed encumbrances; supplied financial and business information is not knowingly misleading; and material debts, disputes, tax liabilities, IP limitations and related-party arrangements have been fairly disclosed in Schedule 4 or the signed disclosure letter.</w:t>
      </w:r>
    </w:p>
    <w:p>
      <w:r>
        <w:t>11.2 Each signing Founder warrants its authority, title to its listed shares and that it has disclosed any personal claim to material platform IP. It shall complete the assignments required by clause 5. No Founder warrants future revenue, investment returns or the conduct of other persons merely by signing.</w:t>
      </w:r>
    </w:p>
    <w:p>
      <w:r>
        <w:t>11.3 The Investor warrants its authority to invest, lawful source of funds, satisfaction of applicable eligibility requirements and that it invests for its own account or for the disclosed beneficial owners listed in Schedule 4. It has had an opportunity to investigate and obtain independent advice. Reliance on express warranties is preserved.</w:t>
      </w:r>
    </w:p>
    <w:p>
      <w:r>
        <w:t>11.4 Warranties are qualified only by matters specifically and fairly disclosed with enough detail to identify their nature and scope. General references to all Company records do not alone constitute adequate disclosure. A material change before Completion must be promptly disclosed.</w:t>
      </w:r>
    </w:p>
    <w:p>
      <w:pPr>
        <w:pStyle w:val="Heading1"/>
      </w:pPr>
      <w:r>
        <w:t>12 Breach and remedies</w:t>
      </w:r>
    </w:p>
    <w:p>
      <w:r>
        <w:t>12.1 A party alleging a material breach shall give written particulars and, where capable of remedy, twenty Business Days to cure it. The affected party may seek damages, specific performance or other lawful relief if the breach is not cured. Urgent relief and fraud claims need not await that period.</w:t>
      </w:r>
    </w:p>
    <w:p>
      <w:r>
        <w:t>12.2 After Completion, termination of contractual obligations does not itself cancel validly issued shares, entitle either party to a refund or reverse a corporate act. Any rescission, buyback or share transfer requires a valid legal basis and the required process.</w:t>
      </w:r>
    </w:p>
    <w:p>
      <w:r>
        <w:t>12.3 Contractual warranty claims must be notified within eighteen months after Completion with reasonable detail. Claims for incorporation, authority, title to shares or title to assigned IP may be notified within [AGREED PERIOD], subject to applicable law. No contractual period limits fraud or any liability that law prohibits limiting.</w:t>
      </w:r>
    </w:p>
    <w:p>
      <w:r>
        <w:t>12.4 The Company's aggregate contractual liability is capped at the investment amount; each Founder's aggregate contractual liability is capped at [AGREED NGN AMOUNT]. These caps exclude fraud, deliberate diversion of subscription funds, wilful misconduct and liability that cannot lawfully be limited. Each party is responsible for its own breach; Founders are not personal guarantors of the Company's business performance or debts.</w:t>
      </w:r>
    </w:p>
    <w:p>
      <w:r>
        <w:t>12.5 Any damages recoverable remain subject to proof, causation and mitigation; there is no double recovery. These limits do not defeat a refund of unallotted funds under clause 2.6 or non-monetary enforcement of shareholder rights where available.</w:t>
      </w:r>
    </w:p>
    <w:p>
      <w:pPr>
        <w:pStyle w:val="Heading1"/>
        <w:pageBreakBefore/>
      </w:pPr>
      <w:r>
        <w:t>13 General terms</w:t>
      </w:r>
    </w:p>
    <w:p>
      <w:r>
        <w:t>13.1 The laws of the Federal Republic of Nigeria govern this Agreement. The Company shall obtain applicable corporate and securities approvals before issuing shares. If foreign investment is involved, the parties shall agree a lawful banking route and any necessary evidence supporting investment registration and future capital or dividend remittance before funding.</w:t>
      </w:r>
    </w:p>
    <w:p>
      <w:r>
        <w:t>13.2 Each party bears its own adviser costs unless Schedule 3 expressly provides otherwise. The Company bears its corporate filing costs and any tax or duty legally payable by it. Required withholding shall be made and supported by evidence; no blanket tax exemption or automatic gross-up is promised.</w:t>
      </w:r>
    </w:p>
    <w:p>
      <w:r>
        <w:t>13.3 Notices shall be delivered by email and, for termination or formal disputes, also by courier to the details in Schedule 4. Email is received when acknowledged or on the next Business Day following transmission if no delivery failure is received; courier notices are received on recorded delivery. A party shall notify changes of address.</w:t>
      </w:r>
    </w:p>
    <w:p>
      <w:r>
        <w:t>13.4 This Agreement, its signed schedules and disclosure letter contain the entire agreement on this investment. Amendments require the Company, Investor and each Shareholder whose rights or obligations are affected to sign, together with any legally required approvals. No amendment imposes new obligations on a non-consenting holder.</w:t>
      </w:r>
    </w:p>
    <w:p>
      <w:r>
        <w:t>13.5 No waiver arises from delay. An invalid provision shall be severed only so far as lawful without defeating the commercial purpose. Counterparts and electronic signatures may be used to the extent legally effective. Neither party may assign contractual rights separately from a permitted share transfer without the other affected parties' written consent.</w:t>
      </w:r>
    </w:p>
    <w:p>
      <w:r>
        <w:t>13.6 Subscription provisions cease once performed or lawfully terminated. Continuing shareholder rights run while the relevant holder owns shares, subject to express thresholds. Confidentiality, accrued claims, applicable remedies and dispute provisions survive as stated. This Agreement creates no partnership or general agency.</w:t>
      </w:r>
    </w:p>
    <w:p>
      <w:r>
        <w:t>13.7 This Agreement does not authorise public solicitation, crowdfunding or an unapproved offer of securities. Before circulating an investment offer or accepting funds, the Company shall obtain advice on the actual offering route and comply with applicable Nigerian securities requirements. Calling a transaction private does not itself establish a regulatory exemption.</w:t>
      </w:r>
    </w:p>
    <w:p>
      <w:pPr>
        <w:pStyle w:val="Heading1"/>
      </w:pPr>
      <w:r>
        <w:t>14 Disputes</w:t>
      </w:r>
    </w:p>
    <w:p>
      <w:r>
        <w:t>14.1 The parties shall first attempt resolution through authorised representatives for fifteen Business Days after written dispute notice. An unresolved dispute capable of arbitration shall be finally resolved by one arbitrator under the Arbitration and Mediation Act 2023. The seat is Abuja, Nigeria; the language is English.</w:t>
      </w:r>
    </w:p>
    <w:p>
      <w:r>
        <w:t>14.2 The parties shall agree the arbitrator within fifteen Business Days after a request for arbitration; failing agreement, appointment shall be made through the competent court under the applicable Act. The arbitrator shall determine costs and provide a reasoned award. Mandatory statutory remedies and non-arbitrable matters remain for the competent court. A party may seek urgent interim relief without abandoning arbitration.</w:t>
      </w:r>
    </w:p>
    <w:p>
      <w:pPr>
        <w:pStyle w:val="Heading1"/>
      </w:pPr>
      <w:r>
        <w:t>15 Signatures</w:t>
      </w:r>
    </w:p>
    <w:p>
      <w:r>
        <w:t>For the Company: [REGISTERED COMPANY NAME]</w:t>
      </w:r>
    </w:p>
    <w:p>
      <w:r>
        <w:t>Authorised signature: ____________________ Name: [NAME] Title: [TITLE] Date: [DATE]</w:t>
      </w:r>
    </w:p>
    <w:p>
      <w:r>
        <w:t>Additional authorised signatory if required: ____________________ Name and title: [DETAILS]</w:t>
      </w:r>
    </w:p>
    <w:p>
      <w:r>
        <w:t>Investor: [FULL LEGAL NAME]</w:t>
      </w:r>
    </w:p>
    <w:p>
      <w:r>
        <w:t>Signature: ____________________ Name and capacity: [DETAILS] Date: [DATE]</w:t>
      </w:r>
    </w:p>
    <w:p>
      <w:r>
        <w:t>Each Existing Shareholder must sign separately: [FULL NAME]</w:t>
      </w:r>
    </w:p>
    <w:p>
      <w:r>
        <w:t>Signature: ____________________ Capacity: [DETAILS] Date: [DATE]</w:t>
      </w:r>
    </w:p>
    <w:p>
      <w:r>
        <w:t>Witness for any individual signature where required: signature ____________________ Full name [NAME] Address [ADDRESS] Occupation [OCCUPATION]. Repeat for each relevant signatory. Counsel shall confirm the appropriate execution method for each party.</w:t>
      </w:r>
    </w:p>
    <w:p>
      <w:pPr>
        <w:pStyle w:val="Heading1"/>
        <w:pageBreakBefore/>
      </w:pPr>
      <w:r>
        <w:t>Schedule 2 Capitalisation and shareholder rights</w:t>
      </w:r>
    </w:p>
    <w:p>
      <w:pPr>
        <w:spacing w:after="80" w:line="240" w:lineRule="auto"/>
      </w:pPr>
      <w:r>
        <w:rPr>
          <w:sz w:val="19"/>
        </w:rPr>
        <w:t>The Investor subscribes NGN 5,000,000 for 5% immediately after Completion. The existing holders retain 95% collectively, with each existing holder's percentage reduced proportionately to 95% of its previous percentage. The table below is the agreed allocation calculation; the signed closing annex must identify each holder by legal name and enter the verified actual share counts.</w:t>
      </w:r>
    </w:p>
    <w:tbl>
      <w:tblPr>
        <w:tblW w:type="auto" w:w="0"/>
        <w:jc w:val="center"/>
        <w:tblLayout w:type="fixed"/>
        <w:tblLook w:firstColumn="1" w:firstRow="1" w:lastColumn="0" w:lastRow="0" w:noHBand="0" w:noVBand="1" w:val="04A0"/>
      </w:tblPr>
      <w:tblGrid>
        <w:gridCol w:w="2952"/>
        <w:gridCol w:w="1512"/>
        <w:gridCol w:w="1512"/>
        <w:gridCol w:w="1512"/>
        <w:gridCol w:w="1944"/>
      </w:tblGrid>
      <w:tr>
        <w:trPr>
          <w:tblHeader/>
        </w:trPr>
        <w:tc>
          <w:tcPr>
            <w:tcW w:type="dxa" w:w="2952"/>
            <w:vAlign w:val="center"/>
            <w:tcBorders>
              <w:top w:val="single" w:sz="4" w:color="D9D9D9"/>
              <w:left w:val="single" w:sz="4" w:color="D9D9D9"/>
              <w:bottom w:val="single" w:sz="4" w:color="D9D9D9"/>
              <w:right w:val="single" w:sz="4" w:color="D9D9D9"/>
            </w:tcBorders>
            <w:tcMar>
              <w:top w:w="55" w:type="dxa"/>
              <w:left w:w="85" w:type="dxa"/>
              <w:bottom w:w="55" w:type="dxa"/>
              <w:right w:w="85" w:type="dxa"/>
            </w:tcMar>
            <w:shd w:fill="E8E8E8"/>
          </w:tcPr>
          <w:p>
            <w:pPr>
              <w:spacing w:after="40" w:before="40"/>
            </w:pPr>
            <w:r>
              <w:rPr>
                <w:b/>
                <w:sz w:val="18"/>
              </w:rPr>
              <w:t>Holder</w:t>
            </w:r>
          </w:p>
        </w:tc>
        <w:tc>
          <w:tcPr>
            <w:tcW w:type="dxa" w:w="1512"/>
            <w:vAlign w:val="center"/>
            <w:tcBorders>
              <w:top w:val="single" w:sz="4" w:color="D9D9D9"/>
              <w:left w:val="single" w:sz="4" w:color="D9D9D9"/>
              <w:bottom w:val="single" w:sz="4" w:color="D9D9D9"/>
              <w:right w:val="single" w:sz="4" w:color="D9D9D9"/>
            </w:tcBorders>
            <w:tcMar>
              <w:top w:w="55" w:type="dxa"/>
              <w:left w:w="85" w:type="dxa"/>
              <w:bottom w:w="55" w:type="dxa"/>
              <w:right w:w="85" w:type="dxa"/>
            </w:tcMar>
            <w:shd w:fill="E8E8E8"/>
          </w:tcPr>
          <w:p>
            <w:pPr>
              <w:spacing w:after="40" w:before="40"/>
            </w:pPr>
            <w:r>
              <w:rPr>
                <w:b/>
                <w:sz w:val="18"/>
              </w:rPr>
              <w:t>Shares before</w:t>
            </w:r>
          </w:p>
        </w:tc>
        <w:tc>
          <w:tcPr>
            <w:tcW w:type="dxa" w:w="1512"/>
            <w:vAlign w:val="center"/>
            <w:tcBorders>
              <w:top w:val="single" w:sz="4" w:color="D9D9D9"/>
              <w:left w:val="single" w:sz="4" w:color="D9D9D9"/>
              <w:bottom w:val="single" w:sz="4" w:color="D9D9D9"/>
              <w:right w:val="single" w:sz="4" w:color="D9D9D9"/>
            </w:tcBorders>
            <w:tcMar>
              <w:top w:w="55" w:type="dxa"/>
              <w:left w:w="85" w:type="dxa"/>
              <w:bottom w:w="55" w:type="dxa"/>
              <w:right w:w="85" w:type="dxa"/>
            </w:tcMar>
            <w:shd w:fill="E8E8E8"/>
          </w:tcPr>
          <w:p>
            <w:pPr>
              <w:spacing w:after="40" w:before="40"/>
            </w:pPr>
            <w:r>
              <w:rPr>
                <w:b/>
                <w:sz w:val="18"/>
              </w:rPr>
              <w:t>New shares</w:t>
            </w:r>
          </w:p>
        </w:tc>
        <w:tc>
          <w:tcPr>
            <w:tcW w:type="dxa" w:w="1512"/>
            <w:vAlign w:val="center"/>
            <w:tcBorders>
              <w:top w:val="single" w:sz="4" w:color="D9D9D9"/>
              <w:left w:val="single" w:sz="4" w:color="D9D9D9"/>
              <w:bottom w:val="single" w:sz="4" w:color="D9D9D9"/>
              <w:right w:val="single" w:sz="4" w:color="D9D9D9"/>
            </w:tcBorders>
            <w:tcMar>
              <w:top w:w="55" w:type="dxa"/>
              <w:left w:w="85" w:type="dxa"/>
              <w:bottom w:w="55" w:type="dxa"/>
              <w:right w:w="85" w:type="dxa"/>
            </w:tcMar>
            <w:shd w:fill="E8E8E8"/>
          </w:tcPr>
          <w:p>
            <w:pPr>
              <w:spacing w:after="40" w:before="40"/>
            </w:pPr>
            <w:r>
              <w:rPr>
                <w:b/>
                <w:sz w:val="18"/>
              </w:rPr>
              <w:t>Shares after</w:t>
            </w:r>
          </w:p>
        </w:tc>
        <w:tc>
          <w:tcPr>
            <w:tcW w:type="dxa" w:w="1944"/>
            <w:vAlign w:val="center"/>
            <w:tcBorders>
              <w:top w:val="single" w:sz="4" w:color="D9D9D9"/>
              <w:left w:val="single" w:sz="4" w:color="D9D9D9"/>
              <w:bottom w:val="single" w:sz="4" w:color="D9D9D9"/>
              <w:right w:val="single" w:sz="4" w:color="D9D9D9"/>
            </w:tcBorders>
            <w:tcMar>
              <w:top w:w="55" w:type="dxa"/>
              <w:left w:w="85" w:type="dxa"/>
              <w:bottom w:w="55" w:type="dxa"/>
              <w:right w:w="85" w:type="dxa"/>
            </w:tcMar>
            <w:shd w:fill="E8E8E8"/>
          </w:tcPr>
          <w:p>
            <w:pPr>
              <w:spacing w:after="40" w:before="40"/>
            </w:pPr>
            <w:r>
              <w:rPr>
                <w:b/>
                <w:sz w:val="18"/>
              </w:rPr>
              <w:t>Fully diluted ownership</w:t>
            </w:r>
          </w:p>
        </w:tc>
      </w:tr>
      <w:tr>
        <w:tc>
          <w:tcPr>
            <w:tcW w:type="dxa" w:w="2952"/>
            <w:vAlign w:val="center"/>
            <w:tcBorders>
              <w:top w:val="single" w:sz="4" w:color="D9D9D9"/>
              <w:left w:val="single" w:sz="4" w:color="D9D9D9"/>
              <w:bottom w:val="single" w:sz="4" w:color="D9D9D9"/>
              <w:right w:val="single" w:sz="4" w:color="D9D9D9"/>
            </w:tcBorders>
            <w:tcMar>
              <w:top w:w="55" w:type="dxa"/>
              <w:left w:w="85" w:type="dxa"/>
              <w:bottom w:w="55" w:type="dxa"/>
              <w:right w:w="85" w:type="dxa"/>
            </w:tcMar>
          </w:tcPr>
          <w:p>
            <w:pPr>
              <w:spacing w:after="40" w:before="40"/>
            </w:pPr>
            <w:r>
              <w:rPr>
                <w:b w:val="0"/>
                <w:sz w:val="18"/>
              </w:rPr>
              <w:t>Existing shareholders collectively</w:t>
            </w:r>
          </w:p>
        </w:tc>
        <w:tc>
          <w:tcPr>
            <w:tcW w:type="dxa" w:w="1512"/>
            <w:vAlign w:val="center"/>
            <w:tcBorders>
              <w:top w:val="single" w:sz="4" w:color="D9D9D9"/>
              <w:left w:val="single" w:sz="4" w:color="D9D9D9"/>
              <w:bottom w:val="single" w:sz="4" w:color="D9D9D9"/>
              <w:right w:val="single" w:sz="4" w:color="D9D9D9"/>
            </w:tcBorders>
            <w:tcMar>
              <w:top w:w="55" w:type="dxa"/>
              <w:left w:w="85" w:type="dxa"/>
              <w:bottom w:w="55" w:type="dxa"/>
              <w:right w:w="85" w:type="dxa"/>
            </w:tcMar>
          </w:tcPr>
          <w:p>
            <w:pPr>
              <w:spacing w:after="40" w:before="40"/>
            </w:pPr>
            <w:r>
              <w:rPr>
                <w:b w:val="0"/>
                <w:sz w:val="18"/>
              </w:rPr>
              <w:t>C</w:t>
            </w:r>
          </w:p>
        </w:tc>
        <w:tc>
          <w:tcPr>
            <w:tcW w:type="dxa" w:w="1512"/>
            <w:vAlign w:val="center"/>
            <w:tcBorders>
              <w:top w:val="single" w:sz="4" w:color="D9D9D9"/>
              <w:left w:val="single" w:sz="4" w:color="D9D9D9"/>
              <w:bottom w:val="single" w:sz="4" w:color="D9D9D9"/>
              <w:right w:val="single" w:sz="4" w:color="D9D9D9"/>
            </w:tcBorders>
            <w:tcMar>
              <w:top w:w="55" w:type="dxa"/>
              <w:left w:w="85" w:type="dxa"/>
              <w:bottom w:w="55" w:type="dxa"/>
              <w:right w:w="85" w:type="dxa"/>
            </w:tcMar>
          </w:tcPr>
          <w:p>
            <w:pPr>
              <w:spacing w:after="40" w:before="40"/>
            </w:pPr>
            <w:r>
              <w:rPr>
                <w:b w:val="0"/>
                <w:sz w:val="18"/>
              </w:rPr>
              <w:t>0</w:t>
            </w:r>
          </w:p>
        </w:tc>
        <w:tc>
          <w:tcPr>
            <w:tcW w:type="dxa" w:w="1512"/>
            <w:vAlign w:val="center"/>
            <w:tcBorders>
              <w:top w:val="single" w:sz="4" w:color="D9D9D9"/>
              <w:left w:val="single" w:sz="4" w:color="D9D9D9"/>
              <w:bottom w:val="single" w:sz="4" w:color="D9D9D9"/>
              <w:right w:val="single" w:sz="4" w:color="D9D9D9"/>
            </w:tcBorders>
            <w:tcMar>
              <w:top w:w="55" w:type="dxa"/>
              <w:left w:w="85" w:type="dxa"/>
              <w:bottom w:w="55" w:type="dxa"/>
              <w:right w:w="85" w:type="dxa"/>
            </w:tcMar>
          </w:tcPr>
          <w:p>
            <w:pPr>
              <w:spacing w:after="40" w:before="40"/>
            </w:pPr>
            <w:r>
              <w:rPr>
                <w:b w:val="0"/>
                <w:sz w:val="18"/>
              </w:rPr>
              <w:t>C</w:t>
            </w:r>
          </w:p>
        </w:tc>
        <w:tc>
          <w:tcPr>
            <w:tcW w:type="dxa" w:w="1944"/>
            <w:vAlign w:val="center"/>
            <w:tcBorders>
              <w:top w:val="single" w:sz="4" w:color="D9D9D9"/>
              <w:left w:val="single" w:sz="4" w:color="D9D9D9"/>
              <w:bottom w:val="single" w:sz="4" w:color="D9D9D9"/>
              <w:right w:val="single" w:sz="4" w:color="D9D9D9"/>
            </w:tcBorders>
            <w:tcMar>
              <w:top w:w="55" w:type="dxa"/>
              <w:left w:w="85" w:type="dxa"/>
              <w:bottom w:w="55" w:type="dxa"/>
              <w:right w:w="85" w:type="dxa"/>
            </w:tcMar>
          </w:tcPr>
          <w:p>
            <w:pPr>
              <w:spacing w:after="40" w:before="40"/>
            </w:pPr>
            <w:r>
              <w:rPr>
                <w:b w:val="0"/>
                <w:sz w:val="18"/>
              </w:rPr>
              <w:t>95%</w:t>
            </w:r>
          </w:p>
        </w:tc>
      </w:tr>
      <w:tr>
        <w:tc>
          <w:tcPr>
            <w:tcW w:type="dxa" w:w="2952"/>
            <w:vAlign w:val="center"/>
            <w:tcBorders>
              <w:top w:val="single" w:sz="4" w:color="D9D9D9"/>
              <w:left w:val="single" w:sz="4" w:color="D9D9D9"/>
              <w:bottom w:val="single" w:sz="4" w:color="D9D9D9"/>
              <w:right w:val="single" w:sz="4" w:color="D9D9D9"/>
            </w:tcBorders>
            <w:tcMar>
              <w:top w:w="55" w:type="dxa"/>
              <w:left w:w="85" w:type="dxa"/>
              <w:bottom w:w="55" w:type="dxa"/>
              <w:right w:w="85" w:type="dxa"/>
            </w:tcMar>
          </w:tcPr>
          <w:p>
            <w:pPr>
              <w:spacing w:after="40" w:before="40"/>
            </w:pPr>
            <w:r>
              <w:rPr>
                <w:b w:val="0"/>
                <w:sz w:val="18"/>
              </w:rPr>
              <w:t>Investor named in clause 1.2</w:t>
            </w:r>
          </w:p>
        </w:tc>
        <w:tc>
          <w:tcPr>
            <w:tcW w:type="dxa" w:w="1512"/>
            <w:vAlign w:val="center"/>
            <w:tcBorders>
              <w:top w:val="single" w:sz="4" w:color="D9D9D9"/>
              <w:left w:val="single" w:sz="4" w:color="D9D9D9"/>
              <w:bottom w:val="single" w:sz="4" w:color="D9D9D9"/>
              <w:right w:val="single" w:sz="4" w:color="D9D9D9"/>
            </w:tcBorders>
            <w:tcMar>
              <w:top w:w="55" w:type="dxa"/>
              <w:left w:w="85" w:type="dxa"/>
              <w:bottom w:w="55" w:type="dxa"/>
              <w:right w:w="85" w:type="dxa"/>
            </w:tcMar>
          </w:tcPr>
          <w:p>
            <w:pPr>
              <w:spacing w:after="40" w:before="40"/>
            </w:pPr>
            <w:r>
              <w:rPr>
                <w:b w:val="0"/>
                <w:sz w:val="18"/>
              </w:rPr>
              <w:t>0</w:t>
            </w:r>
          </w:p>
        </w:tc>
        <w:tc>
          <w:tcPr>
            <w:tcW w:type="dxa" w:w="1512"/>
            <w:vAlign w:val="center"/>
            <w:tcBorders>
              <w:top w:val="single" w:sz="4" w:color="D9D9D9"/>
              <w:left w:val="single" w:sz="4" w:color="D9D9D9"/>
              <w:bottom w:val="single" w:sz="4" w:color="D9D9D9"/>
              <w:right w:val="single" w:sz="4" w:color="D9D9D9"/>
            </w:tcBorders>
            <w:tcMar>
              <w:top w:w="55" w:type="dxa"/>
              <w:left w:w="85" w:type="dxa"/>
              <w:bottom w:w="55" w:type="dxa"/>
              <w:right w:w="85" w:type="dxa"/>
            </w:tcMar>
          </w:tcPr>
          <w:p>
            <w:pPr>
              <w:spacing w:after="40" w:before="40"/>
            </w:pPr>
            <w:r>
              <w:rPr>
                <w:b w:val="0"/>
                <w:sz w:val="18"/>
              </w:rPr>
              <w:t>C / 19</w:t>
            </w:r>
          </w:p>
        </w:tc>
        <w:tc>
          <w:tcPr>
            <w:tcW w:type="dxa" w:w="1512"/>
            <w:vAlign w:val="center"/>
            <w:tcBorders>
              <w:top w:val="single" w:sz="4" w:color="D9D9D9"/>
              <w:left w:val="single" w:sz="4" w:color="D9D9D9"/>
              <w:bottom w:val="single" w:sz="4" w:color="D9D9D9"/>
              <w:right w:val="single" w:sz="4" w:color="D9D9D9"/>
            </w:tcBorders>
            <w:tcMar>
              <w:top w:w="55" w:type="dxa"/>
              <w:left w:w="85" w:type="dxa"/>
              <w:bottom w:w="55" w:type="dxa"/>
              <w:right w:w="85" w:type="dxa"/>
            </w:tcMar>
          </w:tcPr>
          <w:p>
            <w:pPr>
              <w:spacing w:after="40" w:before="40"/>
            </w:pPr>
            <w:r>
              <w:rPr>
                <w:b w:val="0"/>
                <w:sz w:val="18"/>
              </w:rPr>
              <w:t>C / 19</w:t>
            </w:r>
          </w:p>
        </w:tc>
        <w:tc>
          <w:tcPr>
            <w:tcW w:type="dxa" w:w="1944"/>
            <w:vAlign w:val="center"/>
            <w:tcBorders>
              <w:top w:val="single" w:sz="4" w:color="D9D9D9"/>
              <w:left w:val="single" w:sz="4" w:color="D9D9D9"/>
              <w:bottom w:val="single" w:sz="4" w:color="D9D9D9"/>
              <w:right w:val="single" w:sz="4" w:color="D9D9D9"/>
            </w:tcBorders>
            <w:tcMar>
              <w:top w:w="55" w:type="dxa"/>
              <w:left w:w="85" w:type="dxa"/>
              <w:bottom w:w="55" w:type="dxa"/>
              <w:right w:w="85" w:type="dxa"/>
            </w:tcMar>
          </w:tcPr>
          <w:p>
            <w:pPr>
              <w:spacing w:after="40" w:before="40"/>
            </w:pPr>
            <w:r>
              <w:rPr>
                <w:b w:val="0"/>
                <w:sz w:val="18"/>
              </w:rPr>
              <w:t>5%</w:t>
            </w:r>
          </w:p>
        </w:tc>
      </w:tr>
      <w:tr>
        <w:tc>
          <w:tcPr>
            <w:tcW w:type="dxa" w:w="2952"/>
            <w:vAlign w:val="center"/>
            <w:tcBorders>
              <w:top w:val="single" w:sz="4" w:color="D9D9D9"/>
              <w:left w:val="single" w:sz="4" w:color="D9D9D9"/>
              <w:bottom w:val="single" w:sz="4" w:color="D9D9D9"/>
              <w:right w:val="single" w:sz="4" w:color="D9D9D9"/>
            </w:tcBorders>
            <w:tcMar>
              <w:top w:w="55" w:type="dxa"/>
              <w:left w:w="85" w:type="dxa"/>
              <w:bottom w:w="55" w:type="dxa"/>
              <w:right w:w="85" w:type="dxa"/>
            </w:tcMar>
          </w:tcPr>
          <w:p>
            <w:pPr>
              <w:spacing w:after="40" w:before="40"/>
            </w:pPr>
            <w:r>
              <w:rPr>
                <w:b w:val="0"/>
                <w:sz w:val="18"/>
              </w:rPr>
              <w:t>Total</w:t>
            </w:r>
          </w:p>
        </w:tc>
        <w:tc>
          <w:tcPr>
            <w:tcW w:type="dxa" w:w="1512"/>
            <w:vAlign w:val="center"/>
            <w:tcBorders>
              <w:top w:val="single" w:sz="4" w:color="D9D9D9"/>
              <w:left w:val="single" w:sz="4" w:color="D9D9D9"/>
              <w:bottom w:val="single" w:sz="4" w:color="D9D9D9"/>
              <w:right w:val="single" w:sz="4" w:color="D9D9D9"/>
            </w:tcBorders>
            <w:tcMar>
              <w:top w:w="55" w:type="dxa"/>
              <w:left w:w="85" w:type="dxa"/>
              <w:bottom w:w="55" w:type="dxa"/>
              <w:right w:w="85" w:type="dxa"/>
            </w:tcMar>
          </w:tcPr>
          <w:p>
            <w:pPr>
              <w:spacing w:after="40" w:before="40"/>
            </w:pPr>
            <w:r>
              <w:rPr>
                <w:b w:val="0"/>
                <w:sz w:val="18"/>
              </w:rPr>
              <w:t>C</w:t>
            </w:r>
          </w:p>
        </w:tc>
        <w:tc>
          <w:tcPr>
            <w:tcW w:type="dxa" w:w="1512"/>
            <w:vAlign w:val="center"/>
            <w:tcBorders>
              <w:top w:val="single" w:sz="4" w:color="D9D9D9"/>
              <w:left w:val="single" w:sz="4" w:color="D9D9D9"/>
              <w:bottom w:val="single" w:sz="4" w:color="D9D9D9"/>
              <w:right w:val="single" w:sz="4" w:color="D9D9D9"/>
            </w:tcBorders>
            <w:tcMar>
              <w:top w:w="55" w:type="dxa"/>
              <w:left w:w="85" w:type="dxa"/>
              <w:bottom w:w="55" w:type="dxa"/>
              <w:right w:w="85" w:type="dxa"/>
            </w:tcMar>
          </w:tcPr>
          <w:p>
            <w:pPr>
              <w:spacing w:after="40" w:before="40"/>
            </w:pPr>
            <w:r>
              <w:rPr>
                <w:b w:val="0"/>
                <w:sz w:val="18"/>
              </w:rPr>
              <w:t>C / 19</w:t>
            </w:r>
          </w:p>
        </w:tc>
        <w:tc>
          <w:tcPr>
            <w:tcW w:type="dxa" w:w="1512"/>
            <w:vAlign w:val="center"/>
            <w:tcBorders>
              <w:top w:val="single" w:sz="4" w:color="D9D9D9"/>
              <w:left w:val="single" w:sz="4" w:color="D9D9D9"/>
              <w:bottom w:val="single" w:sz="4" w:color="D9D9D9"/>
              <w:right w:val="single" w:sz="4" w:color="D9D9D9"/>
            </w:tcBorders>
            <w:tcMar>
              <w:top w:w="55" w:type="dxa"/>
              <w:left w:w="85" w:type="dxa"/>
              <w:bottom w:w="55" w:type="dxa"/>
              <w:right w:w="85" w:type="dxa"/>
            </w:tcMar>
          </w:tcPr>
          <w:p>
            <w:pPr>
              <w:spacing w:after="40" w:before="40"/>
            </w:pPr>
            <w:r>
              <w:rPr>
                <w:b w:val="0"/>
                <w:sz w:val="18"/>
              </w:rPr>
              <w:t>20C / 19</w:t>
            </w:r>
          </w:p>
        </w:tc>
        <w:tc>
          <w:tcPr>
            <w:tcW w:type="dxa" w:w="1944"/>
            <w:vAlign w:val="center"/>
            <w:tcBorders>
              <w:top w:val="single" w:sz="4" w:color="D9D9D9"/>
              <w:left w:val="single" w:sz="4" w:color="D9D9D9"/>
              <w:bottom w:val="single" w:sz="4" w:color="D9D9D9"/>
              <w:right w:val="single" w:sz="4" w:color="D9D9D9"/>
            </w:tcBorders>
            <w:tcMar>
              <w:top w:w="55" w:type="dxa"/>
              <w:left w:w="85" w:type="dxa"/>
              <w:bottom w:w="55" w:type="dxa"/>
              <w:right w:w="85" w:type="dxa"/>
            </w:tcMar>
          </w:tcPr>
          <w:p>
            <w:pPr>
              <w:spacing w:after="40" w:before="40"/>
            </w:pPr>
            <w:r>
              <w:rPr>
                <w:b w:val="0"/>
                <w:sz w:val="18"/>
              </w:rPr>
              <w:t>100%</w:t>
            </w:r>
          </w:p>
        </w:tc>
      </w:tr>
    </w:tbl>
    <w:p>
      <w:pPr>
        <w:spacing w:after="0" w:before="0" w:line="60" w:lineRule="exact"/>
      </w:pPr>
    </w:p>
    <w:p>
      <w:pPr>
        <w:spacing w:after="80" w:line="240" w:lineRule="auto"/>
      </w:pPr>
      <w:r>
        <w:rPr>
          <w:sz w:val="19"/>
        </w:rPr>
        <w:t>C means the verified issued ordinary shares immediately before this subscription, after any separately approved reorganisation necessary for exact whole-share allotment. The required closing basis is a single ordinary class with no outstanding options, warrants, convertibles, reserved employee pool or other rights to acquire equity. This is a condition of this allocation, not a statement that no such rights currently exist. Disclose all current rights; resolve them with required consents or agree a revised closing annex preserving the Investor's 5% of both voting and fully diluted equity before funding. No existing right is cancelled by this Agreement alone.</w:t>
      </w:r>
    </w:p>
    <w:p>
      <w:pPr>
        <w:spacing w:after="80" w:line="240" w:lineRule="auto"/>
      </w:pPr>
      <w:r>
        <w:rPr>
          <w:sz w:val="19"/>
        </w:rPr>
        <w:t>The new allotment must satisfy (C / 19) divided by (C + C / 19) = 5%, and its total subscription price must equal NGN 5,000,000. Do not round fractional shares in a way that changes the 5% bargain. If C is not divisible by 19, agree a lawful share reorganisation or revised exact allocation before Completion. Verify the price against nominal value and record any premium correctly. There is no employee-pool exception to clause 6.5 under this Schedule. Attach the register, per-holder closing annex, disclosed rights and required pre-emption consents, agreed articles and adherence documents.</w:t>
      </w:r>
    </w:p>
    <w:p>
      <w:pPr>
        <w:pStyle w:val="Heading1"/>
        <w:pageBreakBefore/>
      </w:pPr>
      <w:r>
        <w:t>Schedule 3 Acquisition budget and milestones</w:t>
      </w:r>
    </w:p>
    <w:p>
      <w:pPr>
        <w:spacing w:after="80" w:line="240" w:lineRule="auto"/>
      </w:pPr>
      <w:r>
        <w:rPr>
          <w:sz w:val="19"/>
        </w:rPr>
        <w:t>Budget period: the first six months after Completion. The full NGN 5,000,000 subscription is paid at Completion; the spending phases below are internal budget releases and do not defer or condition the Investor's 5% share allotment. This proposed acquisition budget becomes binding when the parties sign the completed Agreement.</w:t>
      </w:r>
    </w:p>
    <w:tbl>
      <w:tblPr>
        <w:tblW w:type="auto" w:w="0"/>
        <w:jc w:val="center"/>
        <w:tblLayout w:type="fixed"/>
        <w:tblLook w:firstColumn="1" w:firstRow="1" w:lastColumn="0" w:lastRow="0" w:noHBand="0" w:noVBand="1" w:val="04A0"/>
      </w:tblPr>
      <w:tblGrid>
        <w:gridCol w:w="3672"/>
        <w:gridCol w:w="1800"/>
        <w:gridCol w:w="3960"/>
      </w:tblGrid>
      <w:tr>
        <w:trPr>
          <w:tblHeader/>
        </w:trPr>
        <w:tc>
          <w:tcPr>
            <w:tcW w:type="dxa" w:w="3672"/>
            <w:vAlign w:val="center"/>
            <w:tcBorders>
              <w:top w:val="single" w:sz="4" w:color="D9D9D9"/>
              <w:left w:val="single" w:sz="4" w:color="D9D9D9"/>
              <w:bottom w:val="single" w:sz="4" w:color="D9D9D9"/>
              <w:right w:val="single" w:sz="4" w:color="D9D9D9"/>
            </w:tcBorders>
            <w:tcMar>
              <w:top w:w="55" w:type="dxa"/>
              <w:left w:w="85" w:type="dxa"/>
              <w:bottom w:w="55" w:type="dxa"/>
              <w:right w:w="85" w:type="dxa"/>
            </w:tcMar>
            <w:shd w:fill="E8E8E8"/>
          </w:tcPr>
          <w:p>
            <w:pPr>
              <w:spacing w:after="40" w:before="40"/>
            </w:pPr>
            <w:r>
              <w:rPr>
                <w:b/>
                <w:sz w:val="18"/>
              </w:rPr>
              <w:t>Use of investment</w:t>
            </w:r>
          </w:p>
        </w:tc>
        <w:tc>
          <w:tcPr>
            <w:tcW w:type="dxa" w:w="1800"/>
            <w:vAlign w:val="center"/>
            <w:tcBorders>
              <w:top w:val="single" w:sz="4" w:color="D9D9D9"/>
              <w:left w:val="single" w:sz="4" w:color="D9D9D9"/>
              <w:bottom w:val="single" w:sz="4" w:color="D9D9D9"/>
              <w:right w:val="single" w:sz="4" w:color="D9D9D9"/>
            </w:tcBorders>
            <w:tcMar>
              <w:top w:w="55" w:type="dxa"/>
              <w:left w:w="85" w:type="dxa"/>
              <w:bottom w:w="55" w:type="dxa"/>
              <w:right w:w="85" w:type="dxa"/>
            </w:tcMar>
            <w:shd w:fill="E8E8E8"/>
          </w:tcPr>
          <w:p>
            <w:pPr>
              <w:spacing w:after="40" w:before="40"/>
            </w:pPr>
            <w:r>
              <w:rPr>
                <w:b/>
                <w:sz w:val="18"/>
              </w:rPr>
              <w:t>NGN allocation</w:t>
            </w:r>
          </w:p>
        </w:tc>
        <w:tc>
          <w:tcPr>
            <w:tcW w:type="dxa" w:w="3960"/>
            <w:vAlign w:val="center"/>
            <w:tcBorders>
              <w:top w:val="single" w:sz="4" w:color="D9D9D9"/>
              <w:left w:val="single" w:sz="4" w:color="D9D9D9"/>
              <w:bottom w:val="single" w:sz="4" w:color="D9D9D9"/>
              <w:right w:val="single" w:sz="4" w:color="D9D9D9"/>
            </w:tcBorders>
            <w:tcMar>
              <w:top w:w="55" w:type="dxa"/>
              <w:left w:w="85" w:type="dxa"/>
              <w:bottom w:w="55" w:type="dxa"/>
              <w:right w:w="85" w:type="dxa"/>
            </w:tcMar>
            <w:shd w:fill="E8E8E8"/>
          </w:tcPr>
          <w:p>
            <w:pPr>
              <w:spacing w:after="40" w:before="40"/>
            </w:pPr>
            <w:r>
              <w:rPr>
                <w:b/>
                <w:sz w:val="18"/>
              </w:rPr>
              <w:t>Intended delivery or period</w:t>
            </w:r>
          </w:p>
        </w:tc>
      </w:tr>
      <w:tr>
        <w:tc>
          <w:tcPr>
            <w:tcW w:type="dxa" w:w="3672"/>
            <w:vAlign w:val="center"/>
            <w:tcBorders>
              <w:top w:val="single" w:sz="4" w:color="D9D9D9"/>
              <w:left w:val="single" w:sz="4" w:color="D9D9D9"/>
              <w:bottom w:val="single" w:sz="4" w:color="D9D9D9"/>
              <w:right w:val="single" w:sz="4" w:color="D9D9D9"/>
            </w:tcBorders>
            <w:tcMar>
              <w:top w:w="55" w:type="dxa"/>
              <w:left w:w="85" w:type="dxa"/>
              <w:bottom w:w="55" w:type="dxa"/>
              <w:right w:w="85" w:type="dxa"/>
            </w:tcMar>
          </w:tcPr>
          <w:p>
            <w:pPr>
              <w:spacing w:after="40" w:before="40"/>
            </w:pPr>
            <w:r>
              <w:rPr>
                <w:b w:val="0"/>
                <w:sz w:val="18"/>
              </w:rPr>
              <w:t>Paid advertising</w:t>
            </w:r>
          </w:p>
        </w:tc>
        <w:tc>
          <w:tcPr>
            <w:tcW w:type="dxa" w:w="1800"/>
            <w:vAlign w:val="center"/>
            <w:tcBorders>
              <w:top w:val="single" w:sz="4" w:color="D9D9D9"/>
              <w:left w:val="single" w:sz="4" w:color="D9D9D9"/>
              <w:bottom w:val="single" w:sz="4" w:color="D9D9D9"/>
              <w:right w:val="single" w:sz="4" w:color="D9D9D9"/>
            </w:tcBorders>
            <w:tcMar>
              <w:top w:w="55" w:type="dxa"/>
              <w:left w:w="85" w:type="dxa"/>
              <w:bottom w:w="55" w:type="dxa"/>
              <w:right w:w="85" w:type="dxa"/>
            </w:tcMar>
          </w:tcPr>
          <w:p>
            <w:pPr>
              <w:spacing w:after="40" w:before="40"/>
            </w:pPr>
            <w:r>
              <w:rPr>
                <w:b w:val="0"/>
                <w:sz w:val="18"/>
              </w:rPr>
              <w:t>2,250,000</w:t>
            </w:r>
          </w:p>
        </w:tc>
        <w:tc>
          <w:tcPr>
            <w:tcW w:type="dxa" w:w="3960"/>
            <w:vAlign w:val="center"/>
            <w:tcBorders>
              <w:top w:val="single" w:sz="4" w:color="D9D9D9"/>
              <w:left w:val="single" w:sz="4" w:color="D9D9D9"/>
              <w:bottom w:val="single" w:sz="4" w:color="D9D9D9"/>
              <w:right w:val="single" w:sz="4" w:color="D9D9D9"/>
            </w:tcBorders>
            <w:tcMar>
              <w:top w:w="55" w:type="dxa"/>
              <w:left w:w="85" w:type="dxa"/>
              <w:bottom w:w="55" w:type="dxa"/>
              <w:right w:w="85" w:type="dxa"/>
            </w:tcMar>
          </w:tcPr>
          <w:p>
            <w:pPr>
              <w:spacing w:after="40" w:before="40"/>
            </w:pPr>
            <w:r>
              <w:rPr>
                <w:b w:val="0"/>
                <w:sz w:val="18"/>
              </w:rPr>
              <w:t>Months 1 to 6; business and shopper campaigns</w:t>
            </w:r>
          </w:p>
        </w:tc>
      </w:tr>
      <w:tr>
        <w:tc>
          <w:tcPr>
            <w:tcW w:type="dxa" w:w="3672"/>
            <w:vAlign w:val="center"/>
            <w:tcBorders>
              <w:top w:val="single" w:sz="4" w:color="D9D9D9"/>
              <w:left w:val="single" w:sz="4" w:color="D9D9D9"/>
              <w:bottom w:val="single" w:sz="4" w:color="D9D9D9"/>
              <w:right w:val="single" w:sz="4" w:color="D9D9D9"/>
            </w:tcBorders>
            <w:tcMar>
              <w:top w:w="55" w:type="dxa"/>
              <w:left w:w="85" w:type="dxa"/>
              <w:bottom w:w="55" w:type="dxa"/>
              <w:right w:w="85" w:type="dxa"/>
            </w:tcMar>
          </w:tcPr>
          <w:p>
            <w:pPr>
              <w:spacing w:after="40" w:before="40"/>
            </w:pPr>
            <w:r>
              <w:rPr>
                <w:b w:val="0"/>
                <w:sz w:val="18"/>
              </w:rPr>
              <w:t>Creative and landing improvements</w:t>
            </w:r>
          </w:p>
        </w:tc>
        <w:tc>
          <w:tcPr>
            <w:tcW w:type="dxa" w:w="1800"/>
            <w:vAlign w:val="center"/>
            <w:tcBorders>
              <w:top w:val="single" w:sz="4" w:color="D9D9D9"/>
              <w:left w:val="single" w:sz="4" w:color="D9D9D9"/>
              <w:bottom w:val="single" w:sz="4" w:color="D9D9D9"/>
              <w:right w:val="single" w:sz="4" w:color="D9D9D9"/>
            </w:tcBorders>
            <w:tcMar>
              <w:top w:w="55" w:type="dxa"/>
              <w:left w:w="85" w:type="dxa"/>
              <w:bottom w:w="55" w:type="dxa"/>
              <w:right w:w="85" w:type="dxa"/>
            </w:tcMar>
          </w:tcPr>
          <w:p>
            <w:pPr>
              <w:spacing w:after="40" w:before="40"/>
            </w:pPr>
            <w:r>
              <w:rPr>
                <w:b w:val="0"/>
                <w:sz w:val="18"/>
              </w:rPr>
              <w:t>750,000</w:t>
            </w:r>
          </w:p>
        </w:tc>
        <w:tc>
          <w:tcPr>
            <w:tcW w:type="dxa" w:w="3960"/>
            <w:vAlign w:val="center"/>
            <w:tcBorders>
              <w:top w:val="single" w:sz="4" w:color="D9D9D9"/>
              <w:left w:val="single" w:sz="4" w:color="D9D9D9"/>
              <w:bottom w:val="single" w:sz="4" w:color="D9D9D9"/>
              <w:right w:val="single" w:sz="4" w:color="D9D9D9"/>
            </w:tcBorders>
            <w:tcMar>
              <w:top w:w="55" w:type="dxa"/>
              <w:left w:w="85" w:type="dxa"/>
              <w:bottom w:w="55" w:type="dxa"/>
              <w:right w:w="85" w:type="dxa"/>
            </w:tcMar>
          </w:tcPr>
          <w:p>
            <w:pPr>
              <w:spacing w:after="40" w:before="40"/>
            </w:pPr>
            <w:r>
              <w:rPr>
                <w:b w:val="0"/>
                <w:sz w:val="18"/>
              </w:rPr>
              <w:t>Initial assets in month 1; optimisation through month 6</w:t>
            </w:r>
          </w:p>
        </w:tc>
      </w:tr>
      <w:tr>
        <w:tc>
          <w:tcPr>
            <w:tcW w:type="dxa" w:w="3672"/>
            <w:vAlign w:val="center"/>
            <w:tcBorders>
              <w:top w:val="single" w:sz="4" w:color="D9D9D9"/>
              <w:left w:val="single" w:sz="4" w:color="D9D9D9"/>
              <w:bottom w:val="single" w:sz="4" w:color="D9D9D9"/>
              <w:right w:val="single" w:sz="4" w:color="D9D9D9"/>
            </w:tcBorders>
            <w:tcMar>
              <w:top w:w="55" w:type="dxa"/>
              <w:left w:w="85" w:type="dxa"/>
              <w:bottom w:w="55" w:type="dxa"/>
              <w:right w:w="85" w:type="dxa"/>
            </w:tcMar>
          </w:tcPr>
          <w:p>
            <w:pPr>
              <w:spacing w:after="40" w:before="40"/>
            </w:pPr>
            <w:r>
              <w:rPr>
                <w:b w:val="0"/>
                <w:sz w:val="18"/>
              </w:rPr>
              <w:t>Demos onboarding and conversion support</w:t>
            </w:r>
          </w:p>
        </w:tc>
        <w:tc>
          <w:tcPr>
            <w:tcW w:type="dxa" w:w="1800"/>
            <w:vAlign w:val="center"/>
            <w:tcBorders>
              <w:top w:val="single" w:sz="4" w:color="D9D9D9"/>
              <w:left w:val="single" w:sz="4" w:color="D9D9D9"/>
              <w:bottom w:val="single" w:sz="4" w:color="D9D9D9"/>
              <w:right w:val="single" w:sz="4" w:color="D9D9D9"/>
            </w:tcBorders>
            <w:tcMar>
              <w:top w:w="55" w:type="dxa"/>
              <w:left w:w="85" w:type="dxa"/>
              <w:bottom w:w="55" w:type="dxa"/>
              <w:right w:w="85" w:type="dxa"/>
            </w:tcMar>
          </w:tcPr>
          <w:p>
            <w:pPr>
              <w:spacing w:after="40" w:before="40"/>
            </w:pPr>
            <w:r>
              <w:rPr>
                <w:b w:val="0"/>
                <w:sz w:val="18"/>
              </w:rPr>
              <w:t>1,250,000</w:t>
            </w:r>
          </w:p>
        </w:tc>
        <w:tc>
          <w:tcPr>
            <w:tcW w:type="dxa" w:w="3960"/>
            <w:vAlign w:val="center"/>
            <w:tcBorders>
              <w:top w:val="single" w:sz="4" w:color="D9D9D9"/>
              <w:left w:val="single" w:sz="4" w:color="D9D9D9"/>
              <w:bottom w:val="single" w:sz="4" w:color="D9D9D9"/>
              <w:right w:val="single" w:sz="4" w:color="D9D9D9"/>
            </w:tcBorders>
            <w:tcMar>
              <w:top w:w="55" w:type="dxa"/>
              <w:left w:w="85" w:type="dxa"/>
              <w:bottom w:w="55" w:type="dxa"/>
              <w:right w:w="85" w:type="dxa"/>
            </w:tcMar>
          </w:tcPr>
          <w:p>
            <w:pPr>
              <w:spacing w:after="40" w:before="40"/>
            </w:pPr>
            <w:r>
              <w:rPr>
                <w:b w:val="0"/>
                <w:sz w:val="18"/>
              </w:rPr>
              <w:t>Months 1 to 6; business demos and shopper support</w:t>
            </w:r>
          </w:p>
        </w:tc>
      </w:tr>
      <w:tr>
        <w:tc>
          <w:tcPr>
            <w:tcW w:type="dxa" w:w="3672"/>
            <w:vAlign w:val="center"/>
            <w:tcBorders>
              <w:top w:val="single" w:sz="4" w:color="D9D9D9"/>
              <w:left w:val="single" w:sz="4" w:color="D9D9D9"/>
              <w:bottom w:val="single" w:sz="4" w:color="D9D9D9"/>
              <w:right w:val="single" w:sz="4" w:color="D9D9D9"/>
            </w:tcBorders>
            <w:tcMar>
              <w:top w:w="55" w:type="dxa"/>
              <w:left w:w="85" w:type="dxa"/>
              <w:bottom w:w="55" w:type="dxa"/>
              <w:right w:w="85" w:type="dxa"/>
            </w:tcMar>
          </w:tcPr>
          <w:p>
            <w:pPr>
              <w:spacing w:after="40" w:before="40"/>
            </w:pPr>
            <w:r>
              <w:rPr>
                <w:b w:val="0"/>
                <w:sz w:val="18"/>
              </w:rPr>
              <w:t>Attribution and campaign operations</w:t>
            </w:r>
          </w:p>
        </w:tc>
        <w:tc>
          <w:tcPr>
            <w:tcW w:type="dxa" w:w="1800"/>
            <w:vAlign w:val="center"/>
            <w:tcBorders>
              <w:top w:val="single" w:sz="4" w:color="D9D9D9"/>
              <w:left w:val="single" w:sz="4" w:color="D9D9D9"/>
              <w:bottom w:val="single" w:sz="4" w:color="D9D9D9"/>
              <w:right w:val="single" w:sz="4" w:color="D9D9D9"/>
            </w:tcBorders>
            <w:tcMar>
              <w:top w:w="55" w:type="dxa"/>
              <w:left w:w="85" w:type="dxa"/>
              <w:bottom w:w="55" w:type="dxa"/>
              <w:right w:w="85" w:type="dxa"/>
            </w:tcMar>
          </w:tcPr>
          <w:p>
            <w:pPr>
              <w:spacing w:after="40" w:before="40"/>
            </w:pPr>
            <w:r>
              <w:rPr>
                <w:b w:val="0"/>
                <w:sz w:val="18"/>
              </w:rPr>
              <w:t>500,000</w:t>
            </w:r>
          </w:p>
        </w:tc>
        <w:tc>
          <w:tcPr>
            <w:tcW w:type="dxa" w:w="3960"/>
            <w:vAlign w:val="center"/>
            <w:tcBorders>
              <w:top w:val="single" w:sz="4" w:color="D9D9D9"/>
              <w:left w:val="single" w:sz="4" w:color="D9D9D9"/>
              <w:bottom w:val="single" w:sz="4" w:color="D9D9D9"/>
              <w:right w:val="single" w:sz="4" w:color="D9D9D9"/>
            </w:tcBorders>
            <w:tcMar>
              <w:top w:w="55" w:type="dxa"/>
              <w:left w:w="85" w:type="dxa"/>
              <w:bottom w:w="55" w:type="dxa"/>
              <w:right w:w="85" w:type="dxa"/>
            </w:tcMar>
          </w:tcPr>
          <w:p>
            <w:pPr>
              <w:spacing w:after="40" w:before="40"/>
            </w:pPr>
            <w:r>
              <w:rPr>
                <w:b w:val="0"/>
                <w:sz w:val="18"/>
              </w:rPr>
              <w:t>Tracking by end of month 1; monthly cost and results ledger</w:t>
            </w:r>
          </w:p>
        </w:tc>
      </w:tr>
      <w:tr>
        <w:tc>
          <w:tcPr>
            <w:tcW w:type="dxa" w:w="3672"/>
            <w:vAlign w:val="center"/>
            <w:tcBorders>
              <w:top w:val="single" w:sz="4" w:color="D9D9D9"/>
              <w:left w:val="single" w:sz="4" w:color="D9D9D9"/>
              <w:bottom w:val="single" w:sz="4" w:color="D9D9D9"/>
              <w:right w:val="single" w:sz="4" w:color="D9D9D9"/>
            </w:tcBorders>
            <w:tcMar>
              <w:top w:w="55" w:type="dxa"/>
              <w:left w:w="85" w:type="dxa"/>
              <w:bottom w:w="55" w:type="dxa"/>
              <w:right w:w="85" w:type="dxa"/>
            </w:tcMar>
          </w:tcPr>
          <w:p>
            <w:pPr>
              <w:spacing w:after="40" w:before="40"/>
            </w:pPr>
            <w:r>
              <w:rPr>
                <w:b w:val="0"/>
                <w:sz w:val="18"/>
              </w:rPr>
              <w:t>Campaign contingency</w:t>
            </w:r>
          </w:p>
        </w:tc>
        <w:tc>
          <w:tcPr>
            <w:tcW w:type="dxa" w:w="1800"/>
            <w:vAlign w:val="center"/>
            <w:tcBorders>
              <w:top w:val="single" w:sz="4" w:color="D9D9D9"/>
              <w:left w:val="single" w:sz="4" w:color="D9D9D9"/>
              <w:bottom w:val="single" w:sz="4" w:color="D9D9D9"/>
              <w:right w:val="single" w:sz="4" w:color="D9D9D9"/>
            </w:tcBorders>
            <w:tcMar>
              <w:top w:w="55" w:type="dxa"/>
              <w:left w:w="85" w:type="dxa"/>
              <w:bottom w:w="55" w:type="dxa"/>
              <w:right w:w="85" w:type="dxa"/>
            </w:tcMar>
          </w:tcPr>
          <w:p>
            <w:pPr>
              <w:spacing w:after="40" w:before="40"/>
            </w:pPr>
            <w:r>
              <w:rPr>
                <w:b w:val="0"/>
                <w:sz w:val="18"/>
              </w:rPr>
              <w:t>250,000</w:t>
            </w:r>
          </w:p>
        </w:tc>
        <w:tc>
          <w:tcPr>
            <w:tcW w:type="dxa" w:w="3960"/>
            <w:vAlign w:val="center"/>
            <w:tcBorders>
              <w:top w:val="single" w:sz="4" w:color="D9D9D9"/>
              <w:left w:val="single" w:sz="4" w:color="D9D9D9"/>
              <w:bottom w:val="single" w:sz="4" w:color="D9D9D9"/>
              <w:right w:val="single" w:sz="4" w:color="D9D9D9"/>
            </w:tcBorders>
            <w:tcMar>
              <w:top w:w="55" w:type="dxa"/>
              <w:left w:w="85" w:type="dxa"/>
              <w:bottom w:w="55" w:type="dxa"/>
              <w:right w:w="85" w:type="dxa"/>
            </w:tcMar>
          </w:tcPr>
          <w:p>
            <w:pPr>
              <w:spacing w:after="40" w:before="40"/>
            </w:pPr>
            <w:r>
              <w:rPr>
                <w:b w:val="0"/>
                <w:sz w:val="18"/>
              </w:rPr>
              <w:t>Retained for documented campaign contingencies</w:t>
            </w:r>
          </w:p>
        </w:tc>
      </w:tr>
      <w:tr>
        <w:tc>
          <w:tcPr>
            <w:tcW w:type="dxa" w:w="3672"/>
            <w:vAlign w:val="center"/>
            <w:tcBorders>
              <w:top w:val="single" w:sz="4" w:color="D9D9D9"/>
              <w:left w:val="single" w:sz="4" w:color="D9D9D9"/>
              <w:bottom w:val="single" w:sz="4" w:color="D9D9D9"/>
              <w:right w:val="single" w:sz="4" w:color="D9D9D9"/>
            </w:tcBorders>
            <w:tcMar>
              <w:top w:w="55" w:type="dxa"/>
              <w:left w:w="85" w:type="dxa"/>
              <w:bottom w:w="55" w:type="dxa"/>
              <w:right w:w="85" w:type="dxa"/>
            </w:tcMar>
          </w:tcPr>
          <w:p>
            <w:pPr>
              <w:spacing w:after="40" w:before="40"/>
            </w:pPr>
            <w:r>
              <w:rPr>
                <w:b w:val="0"/>
                <w:sz w:val="18"/>
              </w:rPr>
              <w:t>Total</w:t>
            </w:r>
          </w:p>
        </w:tc>
        <w:tc>
          <w:tcPr>
            <w:tcW w:type="dxa" w:w="1800"/>
            <w:vAlign w:val="center"/>
            <w:tcBorders>
              <w:top w:val="single" w:sz="4" w:color="D9D9D9"/>
              <w:left w:val="single" w:sz="4" w:color="D9D9D9"/>
              <w:bottom w:val="single" w:sz="4" w:color="D9D9D9"/>
              <w:right w:val="single" w:sz="4" w:color="D9D9D9"/>
            </w:tcBorders>
            <w:tcMar>
              <w:top w:w="55" w:type="dxa"/>
              <w:left w:w="85" w:type="dxa"/>
              <w:bottom w:w="55" w:type="dxa"/>
              <w:right w:w="85" w:type="dxa"/>
            </w:tcMar>
          </w:tcPr>
          <w:p>
            <w:pPr>
              <w:spacing w:after="40" w:before="40"/>
            </w:pPr>
            <w:r>
              <w:rPr>
                <w:b w:val="0"/>
                <w:sz w:val="18"/>
              </w:rPr>
              <w:t>5,000,000</w:t>
            </w:r>
          </w:p>
        </w:tc>
        <w:tc>
          <w:tcPr>
            <w:tcW w:type="dxa" w:w="3960"/>
            <w:vAlign w:val="center"/>
            <w:tcBorders>
              <w:top w:val="single" w:sz="4" w:color="D9D9D9"/>
              <w:left w:val="single" w:sz="4" w:color="D9D9D9"/>
              <w:bottom w:val="single" w:sz="4" w:color="D9D9D9"/>
              <w:right w:val="single" w:sz="4" w:color="D9D9D9"/>
            </w:tcBorders>
            <w:tcMar>
              <w:top w:w="55" w:type="dxa"/>
              <w:left w:w="85" w:type="dxa"/>
              <w:bottom w:w="55" w:type="dxa"/>
              <w:right w:w="85" w:type="dxa"/>
            </w:tcMar>
          </w:tcPr>
          <w:p>
            <w:pPr>
              <w:spacing w:after="40" w:before="40"/>
            </w:pPr>
            <w:r>
              <w:rPr>
                <w:b w:val="0"/>
                <w:sz w:val="18"/>
              </w:rPr>
              <w:t>Six months after Completion</w:t>
            </w:r>
          </w:p>
        </w:tc>
      </w:tr>
    </w:tbl>
    <w:p>
      <w:pPr>
        <w:spacing w:after="0" w:before="0" w:line="60" w:lineRule="exact"/>
      </w:pPr>
    </w:p>
    <w:p>
      <w:pPr>
        <w:spacing w:after="80" w:line="240" w:lineRule="auto"/>
      </w:pPr>
      <w:r>
        <w:rPr>
          <w:sz w:val="19"/>
        </w:rPr>
        <w:t>Audience allocation: NGN 3,000,000 for paying beverage business acquisition and NGN 2,000,000 for shoppers. Within the five categories above, business/shopper amounts respectively are: advertising NGN 1,250,000 / 1,000,000; creative NGN 500,000 / 250,000; support NGN 1,000,000 / 250,000; attribution NGN 200,000 / 300,000; contingency NGN 50,000 / 200,000. Shared costs are allocated once. Amounts are gross spending ceilings inclusive of applicable taxes and charges; unspent money remains Company cash.</w:t>
      </w:r>
    </w:p>
    <w:p>
      <w:pPr>
        <w:spacing w:after="80" w:line="240" w:lineRule="auto"/>
      </w:pPr>
      <w:r>
        <w:rPr>
          <w:sz w:val="19"/>
        </w:rPr>
        <w:t>Phase 1: release up to NGN 1,000,000 for months 1 to 3, comprising NGN 600,000 for businesses and NGN 400,000 for shoppers. Category ceilings are NGN 450,000 advertising, NGN 150,000 creative, NGN 250,000 support, NGN 100,000 attribution and NGN 50,000 contingency. Establish separate campaign attribution and spending records in month 1; use a NGN 30,000 shopper media test within the advertising ceiling before expanding shopper spend.</w:t>
      </w:r>
    </w:p>
    <w:p>
      <w:pPr>
        <w:spacing w:after="80" w:line="240" w:lineRule="auto"/>
      </w:pPr>
      <w:r>
        <w:rPr>
          <w:sz w:val="19"/>
        </w:rPr>
        <w:t>Phase 2: release up to NGN 2,000,000 for months 4 and 5 after a documented board review of the pilot. Business reporting target: at least four additional campaign-attributed active paying Tenants, each with two paid recurring collections; all-in acquisition cost at most NGN 150,000 per retained Tenant and contribution payback within six months. Shopper review: report fulfilled orders and settled contribution after tenant payouts, payment costs, refunds, delivery and support, discounts and allocated acquisition cost. Expand only channels showing positive settled cohort contribution. Registrations, clicks and gross marketplace sales are not substitutes for these results.</w:t>
      </w:r>
    </w:p>
    <w:p>
      <w:pPr>
        <w:spacing w:after="80" w:line="240" w:lineRule="auto"/>
      </w:pPr>
      <w:r>
        <w:rPr>
          <w:sz w:val="19"/>
        </w:rPr>
        <w:t>Phase 3: release up to NGN 2,000,000 in month 6 after a further board review of retained paid customers, settled channel contribution, spending to date and remaining cash. Phases 2 and 3 each use up to NGN 1,200,000 for businesses and NGN 800,000 for shoppers; each phase's category ceilings are NGN 900,000 advertising, NGN 300,000 creative, NGN 500,000 support, NGN 200,000 attribution and NGN 100,000 contingency. Pause underperforming channels and retain their unused allocations pending a documented decision.</w:t>
      </w:r>
    </w:p>
    <w:p>
      <w:pPr>
        <w:spacing w:after="80" w:line="240" w:lineRule="auto"/>
      </w:pPr>
      <w:r>
        <w:rPr>
          <w:sz w:val="19"/>
        </w:rPr>
        <w:t>Provide the Investor a monthly budget-versus-actual report within fifteen days after month end, including paid tenant retention, all-in acquisition costs, fulfilled-order contribution and remaining campaign cash; provide a six-month review within thirty days after the budget period ends. Targets are planning and spending-review criteria, not guaranteed revenue, repayment obligations or grounds to forfeit validly allotted shares.</w:t>
      </w:r>
    </w:p>
    <w:p>
      <w:pPr>
        <w:spacing w:after="80" w:line="240" w:lineRule="auto"/>
      </w:pPr>
      <w:r>
        <w:rPr>
          <w:sz w:val="19"/>
        </w:rPr>
        <w:t>No founder remuneration, shareholder debt repayment, related-party payment or Investor adviser reimbursement is authorised by this budget. Such payments require separate written approval under the Agreement. General payroll, core platform redevelopment and unrelated operating overhead are outside this campaign budget. Until the Schedule 1 reallocation threshold is completed, any transfer between budget categories or audience allocations, change in purpose, or extension beyond six months requires board approval and written Investor consent. Record the reason and revised totals; never exceed the NGN 5,000,000 ceiling without a separately approved funding source.</w:t>
      </w:r>
    </w:p>
    <w:p>
      <w:pPr>
        <w:pStyle w:val="Heading1"/>
        <w:pageBreakBefore/>
      </w:pPr>
      <w:r>
        <w:t>Schedule 4 Disclosures notices and closing documents</w:t>
      </w:r>
    </w:p>
    <w:p>
      <w:pPr>
        <w:spacing w:after="80" w:line="240" w:lineRule="auto"/>
      </w:pPr>
      <w:r>
        <w:rPr>
          <w:sz w:val="19"/>
        </w:rPr>
        <w:t>Company notice email and address: [DETAILS]. Investor notice email and address: [DETAILS]. Each Shareholder's notice details: [DETAILS]. Investor and Company beneficial owners: [DETAILS].</w:t>
      </w:r>
    </w:p>
    <w:p>
      <w:pPr>
        <w:spacing w:after="80" w:line="240" w:lineRule="auto"/>
      </w:pPr>
      <w:r>
        <w:rPr>
          <w:sz w:val="19"/>
        </w:rPr>
        <w:t>Attach a dated disclosure letter addressing incorporation, ownership and share rights, debts and tax, litigation, IP assignments and licences, existing investor agreements, founder interests, security incidents and actual product launch status. Each item must identify the affected warranty. Record [NONE] explicitly where appropriate rather than leaving uncertainty.</w:t>
      </w:r>
    </w:p>
    <w:p>
      <w:pPr>
        <w:spacing w:after="80" w:line="240" w:lineRule="auto"/>
      </w:pPr>
      <w:r>
        <w:rPr>
          <w:sz w:val="19"/>
        </w:rPr>
        <w:t>Closing documents: incorporation evidence; current and agreed amended articles; registers and signed capitalisation table; authorising resolutions and pre-emption consents; signed shareholder adherence documents; signed disclosure letter; IP assignments and material licences; agreed budget; verified Company banking details; identity and source-of-funds evidence; applicable regulatory approvals; and post-closing filing responsibility [NAME AND ROLE].</w:t>
      </w:r>
    </w:p>
    <w:p>
      <w:pPr>
        <w:spacing w:after="80" w:line="240" w:lineRule="auto"/>
      </w:pPr>
      <w:r>
        <w:rPr>
          <w:sz w:val="19"/>
        </w:rPr>
        <w:t>The parties shall initial the completed schedules and sign the attached disclosure letter. No blank schedule constitutes an agreed commercial term or a confirmed factual disclosure.</w:t>
      </w:r>
    </w:p>
    <w:sectPr w:rsidR="00FC693F" w:rsidRPr="0006063C" w:rsidSect="00034616">
      <w:footerReference w:type="default" r:id="rId9"/>
      <w:pgSz w:w="11909" w:h="16834"/>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DrinksHarbour  |  Draft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47"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47"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7"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7"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47"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DrinksHarbour Investor Agreement</dc:title>
  <dc:subject>Ordinary equity investment review draft</dc:subject>
  <dc:creator>DrinksHarbour</dc:creator>
  <cp:keywords/>
  <dc:description>generated by python-docx</dc:description>
  <cp:lastModifiedBy/>
  <cp:revision>1</cp:revision>
  <dcterms:created xsi:type="dcterms:W3CDTF">2013-12-23T23:15:00Z</dcterms:created>
  <dcterms:modified xsi:type="dcterms:W3CDTF">2013-12-23T23:15:00Z</dcterms:modified>
  <cp:category/>
</cp:coreProperties>
</file>