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DrinksHarbour Nigerian Company Valuation Statement</w:t>
      </w:r>
    </w:p>
    <w:p>
      <w:r>
        <w:rPr>
          <w:b w:val="0"/>
        </w:rPr>
        <w:t>PROPOSED VALUATION FOR NEGOTIATION</w:t>
      </w:r>
    </w:p>
    <w:p>
      <w:r>
        <w:rPr>
          <w:b w:val="0"/>
        </w:rPr>
        <w:t>Prepared on 7 October 2026 for [REGISTERED COMPANY NAME], RC [NUMBER], operating DrinksHarbour and drinksharbour.com.</w:t>
      </w:r>
    </w:p>
    <w:p>
      <w:pPr>
        <w:pStyle w:val="Heading1"/>
      </w:pPr>
      <w:r>
        <w:t>Proposed company valuation</w:t>
      </w:r>
    </w:p>
    <w:p>
      <w:r>
        <w:rPr>
          <w:b w:val="0"/>
        </w:rPr>
        <w:t xml:space="preserve">The proposed pre-money equity valuation is </w:t>
      </w:r>
      <w:r>
        <w:rPr>
          <w:b/>
        </w:rPr>
        <w:t>NGN 60,000,000 (sixty million naira)</w:t>
      </w:r>
      <w:r>
        <w:rPr>
          <w:b w:val="0"/>
        </w:rPr>
        <w:t>. This is the founder's requested negotiating value before a new cash equity subscription. It is not an independently verified appraisal, assured sale price or software licence fee. It supersedes the earlier NGN 35 million discussion basis for the current Nigerian document package.</w:t>
      </w:r>
    </w:p>
    <w:p>
      <w:r>
        <w:rPr>
          <w:b w:val="0"/>
        </w:rPr>
        <w:t>The value concerns the Company's equity interest in the operating business, including its owned software and domain, existing customer relationships and commercial opportunity. These assets are not separately transferred by the advertising loan. Verify registration, ownership, third-party permissions, cash, debt and senior claims before agreeing the price; material findings may require renegotiation.</w:t>
      </w:r>
    </w:p>
    <w:tbl>
      <w:tblPr>
        <w:tblW w:type="auto" w:w="0"/>
        <w:jc w:val="center"/>
        <w:tblLayout w:type="fixed"/>
        <w:tblLook w:firstColumn="1" w:firstRow="1" w:lastColumn="0" w:lastRow="0" w:noHBand="0" w:noVBand="1" w:val="04A0"/>
      </w:tblPr>
      <w:tblGrid>
        <w:gridCol w:w="3240"/>
        <w:gridCol w:w="6365"/>
      </w:tblGrid>
      <w:tr>
        <w:trPr>
          <w:tblHeade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Item</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Current basis</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Proposed pre-money equity value</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NGN 60,000,000</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Proposed advertising facility</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Up to NGN 5,000,000, staged as 1m / 2m / 2m</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Funding structure</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Unsecured Company loan; no equity or conversion rights</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Current paying businesses</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Two: Enterprise and Growth, founder-confirmed</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Subscription baseline</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NGN 120,000 monthly at configured full prices</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Annualised subscription baseline</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NGN 1,440,000; not audited annual receipts</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Online sales</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None reported yet</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Code and drinksharbour.com</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Company ownership reported; documentary title pending</w:t>
            </w:r>
          </w:p>
        </w:tc>
      </w:tr>
    </w:tbl>
    <w:p>
      <w:pPr>
        <w:spacing w:after="40" w:line="60" w:lineRule="exact"/>
      </w:pPr>
    </w:p>
    <w:p>
      <w:pPr>
        <w:pStyle w:val="Heading1"/>
      </w:pPr>
      <w:r>
        <w:t>Revenue and profit model</w:t>
      </w:r>
    </w:p>
    <w:p>
      <w:r>
        <w:rPr>
          <w:b w:val="0"/>
        </w:rPr>
        <w:t>Subscriptions provide recurring fees. Marketplace orders can generate commissions or gross markup spreads under the actual tenant agreement. The full customer basket is not Company revenue: tenant settlements must be deducted. Provider charges, fulfilment support, refunds, losses and acquisition costs then reduce contribution; salaries, infrastructure, maintenance, administration and tax reduce profit further.</w:t>
      </w:r>
    </w:p>
    <w:p>
      <w:r>
        <w:rPr>
          <w:b w:val="0"/>
        </w:rPr>
        <w:t>The platform also contemplates sponsored advertising, venue services, gifting and reorder subscriptions. These opportunities support the commercial narrative but are not treated as current earnings. Loyalty supports retention; direct distribution is a later capital-intensive phase. No forecast customer count or revenue is guaranteed.</w:t>
      </w:r>
    </w:p>
    <w:p>
      <w:r>
        <w:rPr>
          <w:b w:val="0"/>
        </w:rPr>
        <w:t xml:space="preserve">There is no verified current profit figure. Actual receipts, expenses, cash, debts, retention and acquisition costs remain unavailable. The proposed value is approximately </w:t>
      </w:r>
      <w:r>
        <w:rPr>
          <w:b/>
        </w:rPr>
        <w:t>41.67 times</w:t>
      </w:r>
      <w:r>
        <w:rPr>
          <w:b w:val="0"/>
        </w:rPr>
        <w:t xml:space="preserve"> the current annualised subscription baseline, so it relies heavily on software utility and future execution rather than established earnings.</w:t>
      </w:r>
    </w:p>
    <w:p>
      <w:pPr>
        <w:pStyle w:val="Heading1"/>
        <w:pageBreakBefore/>
      </w:pPr>
      <w:r>
        <w:t>What a NGN 5 million transaction means</w:t>
      </w:r>
    </w:p>
    <w:p>
      <w:r>
        <w:rPr>
          <w:b w:val="0"/>
        </w:rPr>
        <w:t xml:space="preserve">Under the accompanying Nigerian Advertising Loan Agreement, a NGN 5 million fully drawn loan gives the lender </w:t>
      </w:r>
      <w:r>
        <w:rPr>
          <w:b/>
        </w:rPr>
        <w:t>0% ownership</w:t>
      </w:r>
      <w:r>
        <w:rPr>
          <w:b w:val="0"/>
        </w:rPr>
        <w:t>. NGN 60 million is recorded for context only. Principal and interest remain payable under the loan's dates and repayment terms, even if campaign results disappoint. There is no conversion on maturity or default.</w:t>
      </w:r>
    </w:p>
    <w:p>
      <w:r>
        <w:rPr>
          <w:b w:val="0"/>
        </w:rPr>
        <w:t>If the parties separately choose a new cash equity subscription, these examples show the basic dilution before fees, option-pool changes, other share issues or special share rights. They are illustrations, not an equity offer or operative loan terms.</w:t>
      </w:r>
    </w:p>
    <w:tbl>
      <w:tblPr>
        <w:tblW w:type="auto" w:w="0"/>
        <w:jc w:val="center"/>
        <w:tblLayout w:type="fixed"/>
        <w:tblLook w:firstColumn="1" w:firstRow="1" w:lastColumn="0" w:lastRow="0" w:noHBand="0" w:noVBand="1" w:val="04A0"/>
      </w:tblPr>
      <w:tblGrid>
        <w:gridCol w:w="4032"/>
        <w:gridCol w:w="1872"/>
        <w:gridCol w:w="3701"/>
      </w:tblGrid>
      <w:tr>
        <w:trPr>
          <w:tblHeader/>
          <w:cantSplit/>
        </w:trPr>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New cash equity</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Post-money value</w:t>
            </w:r>
          </w:p>
        </w:tc>
        <w:tc>
          <w:tcPr>
            <w:tcW w:type="dxa" w:w="37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New investor ownership</w:t>
            </w:r>
          </w:p>
        </w:tc>
      </w:tr>
      <w:tr>
        <w:trPr>
          <w:cantSplit/>
        </w:trPr>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NGN 1,000,000</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NGN 61,000,000</w:t>
            </w:r>
          </w:p>
        </w:tc>
        <w:tc>
          <w:tcPr>
            <w:tcW w:type="dxa" w:w="37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1.64%</w:t>
            </w:r>
          </w:p>
        </w:tc>
      </w:tr>
      <w:tr>
        <w:trPr>
          <w:cantSplit/>
        </w:trPr>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NGN 2,000,000</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NGN 62,000,000</w:t>
            </w:r>
          </w:p>
        </w:tc>
        <w:tc>
          <w:tcPr>
            <w:tcW w:type="dxa" w:w="37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3.23%</w:t>
            </w:r>
          </w:p>
        </w:tc>
      </w:tr>
      <w:tr>
        <w:trPr>
          <w:cantSplit/>
        </w:trPr>
        <w:tc>
          <w:tcPr>
            <w:tcW w:type="dxa" w:w="403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NGN 5,000,000</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NGN 65,000,000</w:t>
            </w:r>
          </w:p>
        </w:tc>
        <w:tc>
          <w:tcPr>
            <w:tcW w:type="dxa" w:w="37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7.69%</w:t>
            </w:r>
          </w:p>
        </w:tc>
      </w:tr>
    </w:tbl>
    <w:p>
      <w:pPr>
        <w:spacing w:after="40" w:line="60" w:lineRule="exact"/>
      </w:pPr>
    </w:p>
    <w:p>
      <w:r>
        <w:rPr>
          <w:b w:val="0"/>
        </w:rPr>
        <w:t>Ownership in a simple primary subscription equals new cash divided by pre-money value plus new cash. Dividing NGN 5 million by NGN 60 million gives 8.33%, but that is not the post-subscription ownership calculation. A purchase of existing shareholders' shares is a different transaction and does not automatically put cash into the Company.</w:t>
      </w:r>
    </w:p>
    <w:p>
      <w:pPr>
        <w:pStyle w:val="Heading1"/>
      </w:pPr>
      <w:r>
        <w:t>Evidence required to defend the value</w:t>
      </w:r>
    </w:p>
    <w:p>
      <w:r>
        <w:rPr>
          <w:b w:val="0"/>
        </w:rPr>
        <w:t>Provide incorporation and capitalisation records, founder and contractor IP assignments, dependency/template permissions, registrar evidence for the domain, tenant contracts and collected subscription receipts. Supply operating accounts, bank reconciliations, debt and liability disclosures, hosting/support costs, customer retention and channel acquisition data. Demonstrate an agreed release and tenant isolation, checkout, stock and settlement workflows.</w:t>
      </w:r>
    </w:p>
    <w:p>
      <w:r>
        <w:rPr>
          <w:b w:val="0"/>
        </w:rPr>
        <w:t>For marketplace profit, verify actual per-tenant commission or markup terms, fulfilled paid orders, refunds and net retained Company earnings. Prospective online sales should be supported by measured experiments before they are used as valuation evidence. Domain ownership is included in the business narrative; no separate quantified premium is assumed.</w:t>
      </w:r>
    </w:p>
    <w:p>
      <w:pPr>
        <w:pStyle w:val="Heading1"/>
      </w:pPr>
      <w:r>
        <w:t>Nigerian legal and commercial review</w:t>
      </w:r>
    </w:p>
    <w:p>
      <w:r>
        <w:rPr>
          <w:b w:val="0"/>
        </w:rPr>
        <w:t>The accompanying loan is in naira, governed by Nigerian law and proposes dispute resolution seated in Abuja. Complete registered names, RC details, addresses, Company bank details, authority, disclosures and per-draw schedules. Corporate, lending, securities and tax requirements must be checked for the actual parties and instrument before execution. A private bilateral label does not itself establish a regulatory exemption.</w:t>
      </w:r>
    </w:p>
    <w:p>
      <w:r>
        <w:rPr>
          <w:b w:val="0"/>
        </w:rPr>
        <w:t>Any future share subscription requires a separate signed agreement, appropriate corporate approvals and a verified capitalisation schedule. The earlier convertible loan and foreign software licence are separate alternatives; neither is incorporated into this package. The NGN 60 million valuation grants no ownership rights by itself.</w:t>
      </w:r>
    </w:p>
    <w:p>
      <w:r>
        <w:rPr>
          <w:b w:val="0"/>
        </w:rPr>
        <w:t>Legal diligence reference: Securities and Exchange Commission, Nigeria, Investments and Securities Act 2025: https://www.sec.gov.ng/our-mandate/regulation/acts/</w:t>
      </w:r>
    </w:p>
    <w:p>
      <w:r>
        <w:rPr>
          <w:b w:val="0"/>
        </w:rPr>
        <w:t>Company acceptance of proposed valuation basis: authorised signature ____________________ Name [NAME] Title [TITLE] Date [DATE]. Counterparty acknowledgement, if agreed: ____________________ Name [NAME] Date [DATE]. This acknowledgement alone is not a subscription, share allotment or funding commitment.</w:t>
      </w:r>
    </w:p>
    <w:sectPr w:rsidR="00FC693F" w:rsidRPr="0006063C" w:rsidSect="00034616">
      <w:footerReference w:type="default" r:id="rId9"/>
      <w:pgSz w:w="11909" w:h="16834"/>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DrinksHarbour  |  Review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2"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DrinksHarbour Nigerian Company Valuation Statement</dc:title>
  <dc:subject>Proposed terms for review, not executed</dc:subject>
  <dc:creator>DrinksHarbour</dc:creator>
  <cp:keywords/>
  <dc:description>generated by python-docx</dc:description>
  <cp:lastModifiedBy/>
  <cp:revision>1</cp:revision>
  <dcterms:created xsi:type="dcterms:W3CDTF">2013-12-23T23:15:00Z</dcterms:created>
  <dcterms:modified xsi:type="dcterms:W3CDTF">2013-12-23T23:15:00Z</dcterms:modified>
  <cp:category/>
</cp:coreProperties>
</file>