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DrinksHarbour Earns Revenue and Builds Profit</w:t>
      </w:r>
    </w:p>
    <w:p>
      <w:r>
        <w:t>Business model and investor explanation</w:t>
      </w:r>
    </w:p>
    <w:p>
      <w:r>
        <w:t>Prepared 7 October 2026</w:t>
      </w:r>
    </w:p>
    <w:p>
      <w:pPr>
        <w:pStyle w:val="Heading1"/>
      </w:pPr>
      <w:r>
        <w:t>1 The business in plain language</w:t>
      </w:r>
    </w:p>
    <w:p>
      <w:r>
        <w:t>DrinksHarbour earns money by providing software to beverage businesses and facilitating beverage commerce. Its strongest immediate earning channel is recurring business software subscriptions. Online marketplace orders can add commission or trading spread after the fulfilling business receives its contractual payout. Custom website design and integration, website management, advertising, venue services and gifting can provide further earnings when sold and delivered. Physical distribution is a later, more capital-intensive business.</w:t>
      </w:r>
    </w:p>
    <w:p>
      <w:r>
        <w:t>Revenue becomes profit only after the Company pays the costs of delivering these services, acquiring customers, employing people, maintaining the technology and meeting its other obligations. A large volume of beverage sales does not necessarily mean a profitable platform. The key commercial task is to retain paying businesses and grow orders that contribute more than they cost to serve.</w:t>
      </w:r>
    </w:p>
    <w:p>
      <w:r>
        <w:t>The platform's subscribing shops, bars, distributors and venues are Tenants. External suppliers are Vendors. DrinksHarbour maintains one central product catalogue, while each Tenant controls its own selling listings, stock and prices. Investment in DrinksHarbour is ownership of the technology Company; it does not give an investor direct ownership of the Tenants' businesses or stock.</w:t>
      </w:r>
    </w:p>
    <w:p>
      <w:pPr>
        <w:pStyle w:val="Heading1"/>
      </w:pPr>
      <w:r>
        <w:t>Current recorded position</w:t>
      </w:r>
    </w:p>
    <w:p>
      <w:r>
        <w:t>Project records dated 7 October 2026 report two paying Tenants, one Enterprise and one Growth, and no online sales. The founder previously confirmed Company ownership of the code and drinksharbour.com. These are recorded founder representations; receipts, title documents and current operating expenses have not been audited for this report. A newer collection ledger may change this baseline.</w:t>
      </w:r>
    </w:p>
    <w:tbl>
      <w:tblPr>
        <w:tblW w:type="auto" w:w="0"/>
        <w:jc w:val="center"/>
        <w:tblLayout w:type="fixed"/>
        <w:tblLook w:firstColumn="1" w:firstRow="1" w:lastColumn="0" w:lastRow="0" w:noHBand="0" w:noVBand="1" w:val="04A0"/>
      </w:tblPr>
      <w:tblGrid>
        <w:gridCol w:w="6048"/>
        <w:gridCol w:w="3528"/>
      </w:tblGrid>
      <w:tr>
        <w:trPr>
          <w:tblHeader/>
        </w:trPr>
        <w:tc>
          <w:tcPr>
            <w:tcW w:type="dxa" w:w="604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E8E8E8"/>
          </w:tcPr>
          <w:p>
            <w:pPr>
              <w:spacing w:after="40" w:before="40"/>
            </w:pPr>
            <w:r>
              <w:rPr>
                <w:b/>
                <w:sz w:val="18"/>
              </w:rPr>
              <w:t>Recorded item</w:t>
            </w:r>
          </w:p>
        </w:tc>
        <w:tc>
          <w:tcPr>
            <w:tcW w:type="dxa" w:w="352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E8E8E8"/>
          </w:tcPr>
          <w:p>
            <w:pPr>
              <w:spacing w:after="40" w:before="40"/>
            </w:pPr>
            <w:r>
              <w:rPr>
                <w:b/>
                <w:sz w:val="18"/>
              </w:rPr>
              <w:t>Monthly amount or position</w:t>
            </w:r>
          </w:p>
        </w:tc>
      </w:tr>
      <w:tr>
        <w:tc>
          <w:tcPr>
            <w:tcW w:type="dxa" w:w="604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Enterprise plan at configured full price</w:t>
            </w:r>
          </w:p>
        </w:tc>
        <w:tc>
          <w:tcPr>
            <w:tcW w:type="dxa" w:w="352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NGN 85,000</w:t>
            </w:r>
          </w:p>
        </w:tc>
      </w:tr>
      <w:tr>
        <w:tc>
          <w:tcPr>
            <w:tcW w:type="dxa" w:w="604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Growth plan at configured full price</w:t>
            </w:r>
          </w:p>
        </w:tc>
        <w:tc>
          <w:tcPr>
            <w:tcW w:type="dxa" w:w="352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NGN 35,000</w:t>
            </w:r>
          </w:p>
        </w:tc>
      </w:tr>
      <w:tr>
        <w:tc>
          <w:tcPr>
            <w:tcW w:type="dxa" w:w="604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Combined subscription revenue at full prices</w:t>
            </w:r>
          </w:p>
        </w:tc>
        <w:tc>
          <w:tcPr>
            <w:tcW w:type="dxa" w:w="352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NGN 120,000</w:t>
            </w:r>
          </w:p>
        </w:tc>
      </w:tr>
      <w:tr>
        <w:tc>
          <w:tcPr>
            <w:tcW w:type="dxa" w:w="604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Recorded online sales</w:t>
            </w:r>
          </w:p>
        </w:tc>
        <w:tc>
          <w:tcPr>
            <w:tcW w:type="dxa" w:w="352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None yet</w:t>
            </w:r>
          </w:p>
        </w:tc>
      </w:tr>
      <w:tr>
        <w:tc>
          <w:tcPr>
            <w:tcW w:type="dxa" w:w="604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Actual Company net profit</w:t>
            </w:r>
          </w:p>
        </w:tc>
        <w:tc>
          <w:tcPr>
            <w:tcW w:type="dxa" w:w="352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Cannot be established without expense and tax records</w:t>
            </w:r>
          </w:p>
        </w:tc>
      </w:tr>
    </w:tbl>
    <w:p>
      <w:pPr>
        <w:spacing w:after="40"/>
      </w:pPr>
    </w:p>
    <w:p>
      <w:r>
        <w:t>The latest investor instruction is NGN 5,000,000 for 5% in the Company. On the new-share subscription basis, that implies NGN 95,000,000 before investment and NGN 100,000,000 after investment. These are transaction terms, not earnings or an independent valuation. This report explains how the business could create profit; it does not change the investor agreement or promise a return.</w:t>
      </w:r>
    </w:p>
    <w:p>
      <w:pPr>
        <w:pStyle w:val="Heading1"/>
        <w:pageBreakBefore/>
      </w:pPr>
      <w:r>
        <w:t>2 The difference between sales revenue profit and cash</w:t>
      </w:r>
    </w:p>
    <w:p>
      <w:r>
        <w:t>Gross merchandise value, or GMV, is the value of fulfilled beverage orders passing through the marketplace. Much of that money belongs to the Tenants who supply and fulfil those orders. DrinksHarbour's economic earnings are its retained commission or spread, plus its separate software and other service revenue.</w:t>
      </w:r>
    </w:p>
    <w:p>
      <w:r>
        <w:t>For management analysis, use the following sequence: fulfilled orders produce platform earnings after Tenant payouts; those earnings less direct order costs produce contribution; all channel contributions less shared overhead produce an operating result; financing costs, depreciation, other accounting adjustments and tax determine final net profit.</w:t>
      </w:r>
    </w:p>
    <w:p>
      <w:r>
        <w:t>Formal financial statements must assess whether DrinksHarbour acts as agent or principal for each service. This report uses net platform earnings for marketplace management analysis and does not settle that accounting assessment. Do not count both full customer order value and retained commission as separate Company revenue.</w:t>
      </w:r>
    </w:p>
    <w:p>
      <w:pPr>
        <w:pStyle w:val="Heading1"/>
      </w:pPr>
      <w:r>
        <w:t>An illustrative marketplace month</w:t>
      </w:r>
    </w:p>
    <w:tbl>
      <w:tblPr>
        <w:tblW w:type="auto" w:w="0"/>
        <w:jc w:val="center"/>
        <w:tblLayout w:type="fixed"/>
        <w:tblLook w:firstColumn="1" w:firstRow="1" w:lastColumn="0" w:lastRow="0" w:noHBand="0" w:noVBand="1" w:val="04A0"/>
      </w:tblPr>
      <w:tblGrid>
        <w:gridCol w:w="6048"/>
        <w:gridCol w:w="3528"/>
      </w:tblGrid>
      <w:tr>
        <w:trPr>
          <w:tblHeader/>
        </w:trPr>
        <w:tc>
          <w:tcPr>
            <w:tcW w:type="dxa" w:w="604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E8E8E8"/>
          </w:tcPr>
          <w:p>
            <w:pPr>
              <w:spacing w:after="40" w:before="40"/>
            </w:pPr>
            <w:r>
              <w:rPr>
                <w:b/>
                <w:sz w:val="18"/>
              </w:rPr>
              <w:t>Money flow</w:t>
            </w:r>
          </w:p>
        </w:tc>
        <w:tc>
          <w:tcPr>
            <w:tcW w:type="dxa" w:w="352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E8E8E8"/>
          </w:tcPr>
          <w:p>
            <w:pPr>
              <w:spacing w:after="40" w:before="40"/>
            </w:pPr>
            <w:r>
              <w:rPr>
                <w:b/>
                <w:sz w:val="18"/>
              </w:rPr>
              <w:t>NGN</w:t>
            </w:r>
          </w:p>
        </w:tc>
      </w:tr>
      <w:tr>
        <w:tc>
          <w:tcPr>
            <w:tcW w:type="dxa" w:w="604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Fulfilled marketplace GMV</w:t>
            </w:r>
          </w:p>
        </w:tc>
        <w:tc>
          <w:tcPr>
            <w:tcW w:type="dxa" w:w="352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10,000,000</w:t>
            </w:r>
          </w:p>
        </w:tc>
      </w:tr>
      <w:tr>
        <w:tc>
          <w:tcPr>
            <w:tcW w:type="dxa" w:w="604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Tenant payouts at an assumed 87%</w:t>
            </w:r>
          </w:p>
        </w:tc>
        <w:tc>
          <w:tcPr>
            <w:tcW w:type="dxa" w:w="352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8,700,000</w:t>
            </w:r>
          </w:p>
        </w:tc>
      </w:tr>
      <w:tr>
        <w:tc>
          <w:tcPr>
            <w:tcW w:type="dxa" w:w="604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Platform earnings at an assumed 13%</w:t>
            </w:r>
          </w:p>
        </w:tc>
        <w:tc>
          <w:tcPr>
            <w:tcW w:type="dxa" w:w="352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1,300,000</w:t>
            </w:r>
          </w:p>
        </w:tc>
      </w:tr>
      <w:tr>
        <w:tc>
          <w:tcPr>
            <w:tcW w:type="dxa" w:w="604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Direct marketplace costs at an assumed 8% of GMV</w:t>
            </w:r>
          </w:p>
        </w:tc>
        <w:tc>
          <w:tcPr>
            <w:tcW w:type="dxa" w:w="352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800,000</w:t>
            </w:r>
          </w:p>
        </w:tc>
      </w:tr>
      <w:tr>
        <w:tc>
          <w:tcPr>
            <w:tcW w:type="dxa" w:w="604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Marketplace contribution before shared overhead</w:t>
            </w:r>
          </w:p>
        </w:tc>
        <w:tc>
          <w:tcPr>
            <w:tcW w:type="dxa" w:w="352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500,000</w:t>
            </w:r>
          </w:p>
        </w:tc>
      </w:tr>
    </w:tbl>
    <w:p>
      <w:pPr>
        <w:spacing w:after="40"/>
      </w:pPr>
    </w:p>
    <w:p>
      <w:r>
        <w:t>This example excludes subscriptions and other channels. The NGN 500,000 is not net profit: staff, core development, baseline hosting, administration, financing and tax may still need to be paid. The assumed 8% cost ratio is explained in section 9 and is not an observed DrinksHarbour rate.</w:t>
      </w:r>
    </w:p>
    <w:p>
      <w:pPr>
        <w:pStyle w:val="Heading1"/>
      </w:pPr>
      <w:r>
        <w:t>Cash that must not be mistaken for profit</w:t>
      </w:r>
    </w:p>
    <w:p>
      <w:r>
        <w:t>Tenant settlement balances belong to the relevant Tenants. Taxes collected for remittance are obligations. Wallet balances, unused gift-card value and refundable customer deposits create liabilities until the relevant service or lawful accounting event occurs. Borrowings and the investor's NGN 5,000,000 are financing, not sales revenue.</w:t>
      </w:r>
    </w:p>
    <w:p>
      <w:r>
        <w:t>A business may receive a year's subscription fees upfront but earn the service revenue across the service period. Conversely, it may show recognised revenue before collection. Profit and bank cash therefore differ. Loan principal repayment reduces cash but is not itself an operating expense; qualifying interest is a financing expense. Capital expenditure also requires separate accounting rather than automatically being treated as a current-period expense.</w:t>
      </w:r>
    </w:p>
    <w:p>
      <w:r>
        <w:t>The Company must keep a settlement ledger, tax ledger and cash forecast alongside its profit report. Cash available to spend means cash after recognising these obligations, not the entire payment-provider or bank balance.</w:t>
      </w:r>
    </w:p>
    <w:p>
      <w:pPr>
        <w:pStyle w:val="Heading1"/>
        <w:pageBreakBefore/>
      </w:pPr>
      <w:r>
        <w:t>3 Recurring software subscriptions</w:t>
      </w:r>
    </w:p>
    <w:p>
      <w:r>
        <w:t>Tenants pay for tools used to run their businesses: inventory, checkout, invoicing, purchasing, customer records, reports and branded storefronts. Higher plans offer broader capabilities and limits. This channel can earn money even when marketplace demand is low because businesses still need software for their physical operations.</w:t>
      </w:r>
    </w:p>
    <w:p>
      <w:r>
        <w:t>The prices and marketplace commission rates below are configured in the project. A configured price or feature does not prove that a customer has paid, that every integration is live, or that actual negotiated Tenant terms match the defaults.</w:t>
      </w:r>
    </w:p>
    <w:tbl>
      <w:tblPr>
        <w:tblW w:type="auto" w:w="0"/>
        <w:jc w:val="center"/>
        <w:tblLayout w:type="fixed"/>
        <w:tblLook w:firstColumn="1" w:firstRow="1" w:lastColumn="0" w:lastRow="0" w:noHBand="0" w:noVBand="1" w:val="04A0"/>
      </w:tblPr>
      <w:tblGrid>
        <w:gridCol w:w="4104"/>
        <w:gridCol w:w="2592"/>
        <w:gridCol w:w="2880"/>
      </w:tblGrid>
      <w:tr>
        <w:trPr>
          <w:tblHeader/>
        </w:trPr>
        <w:tc>
          <w:tcPr>
            <w:tcW w:type="dxa" w:w="410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E8E8E8"/>
          </w:tcPr>
          <w:p>
            <w:pPr>
              <w:spacing w:after="40" w:before="40"/>
            </w:pPr>
            <w:r>
              <w:rPr>
                <w:b/>
                <w:sz w:val="18"/>
              </w:rPr>
              <w:t>Plan</w:t>
            </w:r>
          </w:p>
        </w:tc>
        <w:tc>
          <w:tcPr>
            <w:tcW w:type="dxa" w:w="2592"/>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E8E8E8"/>
          </w:tcPr>
          <w:p>
            <w:pPr>
              <w:spacing w:after="40" w:before="40"/>
            </w:pPr>
            <w:r>
              <w:rPr>
                <w:b/>
                <w:sz w:val="18"/>
              </w:rPr>
              <w:t>Monthly fee NGN</w:t>
            </w:r>
          </w:p>
        </w:tc>
        <w:tc>
          <w:tcPr>
            <w:tcW w:type="dxa" w:w="288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E8E8E8"/>
          </w:tcPr>
          <w:p>
            <w:pPr>
              <w:spacing w:after="40" w:before="40"/>
            </w:pPr>
            <w:r>
              <w:rPr>
                <w:b/>
                <w:sz w:val="18"/>
              </w:rPr>
              <w:t>Configured marketplace commission</w:t>
            </w:r>
          </w:p>
        </w:tc>
      </w:tr>
      <w:tr>
        <w:tc>
          <w:tcPr>
            <w:tcW w:type="dxa" w:w="410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Starter</w:t>
            </w:r>
          </w:p>
        </w:tc>
        <w:tc>
          <w:tcPr>
            <w:tcW w:type="dxa" w:w="2592"/>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15,000</w:t>
            </w:r>
          </w:p>
        </w:tc>
        <w:tc>
          <w:tcPr>
            <w:tcW w:type="dxa" w:w="288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13%</w:t>
            </w:r>
          </w:p>
        </w:tc>
      </w:tr>
      <w:tr>
        <w:tc>
          <w:tcPr>
            <w:tcW w:type="dxa" w:w="410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Growth</w:t>
            </w:r>
          </w:p>
        </w:tc>
        <w:tc>
          <w:tcPr>
            <w:tcW w:type="dxa" w:w="2592"/>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35,000</w:t>
            </w:r>
          </w:p>
        </w:tc>
        <w:tc>
          <w:tcPr>
            <w:tcW w:type="dxa" w:w="288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11%</w:t>
            </w:r>
          </w:p>
        </w:tc>
      </w:tr>
      <w:tr>
        <w:tc>
          <w:tcPr>
            <w:tcW w:type="dxa" w:w="410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Pro</w:t>
            </w:r>
          </w:p>
        </w:tc>
        <w:tc>
          <w:tcPr>
            <w:tcW w:type="dxa" w:w="2592"/>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65,000</w:t>
            </w:r>
          </w:p>
        </w:tc>
        <w:tc>
          <w:tcPr>
            <w:tcW w:type="dxa" w:w="288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10%</w:t>
            </w:r>
          </w:p>
        </w:tc>
      </w:tr>
      <w:tr>
        <w:tc>
          <w:tcPr>
            <w:tcW w:type="dxa" w:w="410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Enterprise</w:t>
            </w:r>
          </w:p>
        </w:tc>
        <w:tc>
          <w:tcPr>
            <w:tcW w:type="dxa" w:w="2592"/>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85,000</w:t>
            </w:r>
          </w:p>
        </w:tc>
        <w:tc>
          <w:tcPr>
            <w:tcW w:type="dxa" w:w="288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9%</w:t>
            </w:r>
          </w:p>
        </w:tc>
      </w:tr>
      <w:tr>
        <w:tc>
          <w:tcPr>
            <w:tcW w:type="dxa" w:w="410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Venue</w:t>
            </w:r>
          </w:p>
        </w:tc>
        <w:tc>
          <w:tcPr>
            <w:tcW w:type="dxa" w:w="2592"/>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150,000</w:t>
            </w:r>
          </w:p>
        </w:tc>
        <w:tc>
          <w:tcPr>
            <w:tcW w:type="dxa" w:w="288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9%</w:t>
            </w:r>
          </w:p>
        </w:tc>
      </w:tr>
    </w:tbl>
    <w:p>
      <w:pPr>
        <w:spacing w:after="40"/>
      </w:pPr>
    </w:p>
    <w:p>
      <w:r>
        <w:t>Free trials generate no subscription revenue. Custom plans are negotiated individually and have no fixed public price in the inspected configuration. Commission discounts are a commercial trade-off: more subscription income can accompany a smaller share of marketplace orders. Do not assume every tenant pays 13%.</w:t>
      </w:r>
    </w:p>
    <w:p>
      <w:pPr>
        <w:pStyle w:val="Heading1"/>
      </w:pPr>
      <w:r>
        <w:t>Location add-ons and upgrades</w:t>
      </w:r>
    </w:p>
    <w:p>
      <w:r>
        <w:t>Eligible Pro and higher plans can purchase additional paid location units: NGN 12,000 per extra shop per month and NGN 20,000 per extra warehouse per month. Charge only for units beyond the applicable included allowance, using the actual entitlement and billing rules. An included location cannot also be counted as paid add-on revenue.</w:t>
      </w:r>
    </w:p>
    <w:p>
      <w:r>
        <w:t>An Enterprise tenant with one additional paid shop and one additional paid warehouse would produce NGN 117,000 in monthly billed service value: NGN 85,000 plus NGN 12,000 plus NGN 20,000. This is illustrative; no such add-on purchase is confirmed. Upgrades and add-ons increase revenue without requiring an entirely new customer, but they also increase support and infrastructure use.</w:t>
      </w:r>
    </w:p>
    <w:p>
      <w:pPr>
        <w:pStyle w:val="Heading1"/>
      </w:pPr>
      <w:r>
        <w:t>What remains after serving a Tenant</w:t>
      </w:r>
    </w:p>
    <w:p>
      <w:r>
        <w:t>Assume a planning mix of 20% Starter, 40% Growth, 30% Pro and 10% Enterprise. The weighted monthly plan price is NGN 45,000. Using NGN 775 average collection fees and NGN 5,000 incremental support/infrastructure cost produces NGN 39,225 contribution per Tenant before shared overhead and acquisition costs.</w:t>
      </w:r>
    </w:p>
    <w:p>
      <w:r>
        <w:t>Those support costs and customer mix are assumptions. Annual discounts, failed collections, cancellations, tax-inclusive prices and expensive support reduce the actual contribution. The practical drivers are collected recurring revenue, retention, upgrades and low service cost; registrations and free trials alone do not pay the bills.</w:t>
      </w:r>
    </w:p>
    <w:p>
      <w:pPr>
        <w:pStyle w:val="Heading1"/>
        <w:pageBreakBefore/>
      </w:pPr>
      <w:r>
        <w:t>4 Marketplace commissions and pricing spreads</w:t>
      </w:r>
    </w:p>
    <w:p>
      <w:r>
        <w:t>When a shopper orders through DrinksHarbour, one or more Tenants supply the drinks. DrinksHarbour retains its contractual earnings and settles the balance to each fulfilling Tenant. The earning model is configured at the Tenant level; the Tenant's listing carries its own stock, cost and selling prices.</w:t>
      </w:r>
    </w:p>
    <w:p>
      <w:pPr>
        <w:pStyle w:val="Heading1"/>
      </w:pPr>
      <w:r>
        <w:t>Commission example</w:t>
      </w:r>
    </w:p>
    <w:p>
      <w:r>
        <w:t>If an order's applicable commission base is NGN 25,000 and the agreed rate is 13%, gross platform commission is NGN 3,250 and the Tenant payout is NGN 21,750. Delivery pass-through amounts and taxes must be treated according to the actual agreement and accounting policy; they are not automatically part of that commission base.</w:t>
      </w:r>
    </w:p>
    <w:p>
      <w:r>
        <w:t>Suppose the platform incurs NGN 500 processing/payout costs, NGN 750 delivery/support subsidy, NGN 250 expected loss expense and NGN 500 allocated shopper acquisition costs. Total direct costs are NGN 2,000, leaving NGN 1,250 contribution. These amounts illustrate an 8% direct-cost assumption, not a live provider quote or actual margin.</w:t>
      </w:r>
    </w:p>
    <w:p>
      <w:r>
        <w:t>At an 11% effective rate on the same basket, gross earnings would be NGN 2,750 and contribution NGN 750. That difference shows why negotiated rates, pack pricing and discounts matter. A promotion can increase orders while reducing profit if the Company funds the discount or delivery subsidy.</w:t>
      </w:r>
    </w:p>
    <w:p>
      <w:pPr>
        <w:pStyle w:val="Heading1"/>
      </w:pPr>
      <w:r>
        <w:t>Markup and spread example</w:t>
      </w:r>
    </w:p>
    <w:p>
      <w:r>
        <w:t>The inspected marketplace pricing also supports a Tenant cost-based payout model. If Tenant stock cost is NGN 10,000 and its agreed markup for payout calculation is 25%, the payout base is NGN 12,500. If the customer price is NGN 15,000, DrinksHarbour's gross spread is NGN 2,500 before its direct costs.</w:t>
      </w:r>
    </w:p>
    <w:p>
      <w:r>
        <w:t>The platform spread is 16.67% of customer sales in this example, not 25%. The Tenant's cost markup and the Company's margin on customer sales are different quantities. Use the actual customer price less the actual Tenant payout for each fulfilled line; do not turn a named markup percentage into a supposed net profit rate.</w:t>
      </w:r>
    </w:p>
    <w:p>
      <w:r>
        <w:t>The order implementation stores per-line customer amounts, Tenant payout and platform earnings. Even where a code field is named platformProfit, that amount is a gross spread before payment costs, support, acquisition, overhead and tax. The economic profit calculation must include those additional costs.</w:t>
      </w:r>
    </w:p>
    <w:p>
      <w:r>
        <w:t>Offline sales entered in a Tenant's POS are the Tenant's sales. This report does not assume the platform earns marketplace commission on every offline POS transaction. Any additional transaction charge needs its own agreed commercial basis.</w:t>
      </w:r>
    </w:p>
    <w:p>
      <w:pPr>
        <w:pStyle w:val="Heading1"/>
        <w:pageBreakBefore/>
      </w:pPr>
      <w:r>
        <w:t>5 Advertising and loyalty</w:t>
      </w:r>
    </w:p>
    <w:p>
      <w:pPr>
        <w:pStyle w:val="Heading1"/>
      </w:pPr>
      <w:r>
        <w:t>Paid advertising can become a separate revenue channel</w:t>
      </w:r>
    </w:p>
    <w:p>
      <w:r>
        <w:t>Brands and beverage businesses may pay for sponsored product positions, display banners and targeted promotional placements. A cost-per-click campaign charges for eligible clicks; a cost-per-thousand-impressions campaign charges for eligible impressions. A fixed campaign fee is another possible commercial offer, but no advertising tariff is agreed in this report.</w:t>
      </w:r>
    </w:p>
    <w:p>
      <w:r>
        <w:t>For illustration, 2,000 eligible clicks priced at NGN 100 would produce NGN 200,000 gross advertising revenue. Separately, 100,000 eligible impressions at NGN 1,500 per thousand would produce NGN 150,000. These are hypothetical tariffs and volumes. Billing must follow the actual contract, exclude invalid activity and avoid charging twice for the same event unless the contract expressly permits distinct charges.</w:t>
      </w:r>
    </w:p>
    <w:p>
      <w:r>
        <w:t>Advertising contribution equals earned campaign fees less ad serving, campaign support, sales commissions, refunds and other direct fulfilment costs. Customer-funded advertising deposits are not necessarily revenue before delivery. The software's banner and impression/click capabilities are evidence of intended functionality, not proof of paying advertisers or a completed billing system. Advertising revenue is zero in the core scenarios in section 9.</w:t>
      </w:r>
    </w:p>
    <w:p>
      <w:r>
        <w:t>The near-term commercial test is simple: demonstrate relevant traffic and measurable value, sell a clearly scoped campaign, deliver it, collect payment and retain a positive contribution. A banner placement with no credible audience may have little economic value.</w:t>
      </w:r>
    </w:p>
    <w:p>
      <w:pPr>
        <w:pStyle w:val="Heading1"/>
      </w:pPr>
      <w:r>
        <w:t>Loyalty supports other earnings</w:t>
      </w:r>
    </w:p>
    <w:p>
      <w:r>
        <w:t>Corks and Points is intended to encourage repeat orders, referrals and continued engagement through the Cork, Barrel, Cellar and Vault tiers. It is a growth and retention mechanism, not a standalone stream of cash merely because points are issued.</w:t>
      </w:r>
    </w:p>
    <w:p>
      <w:r>
        <w:t>Loyalty creates economic value when the extra contribution from repeat purchases and retained customers exceeds the cost of rewards, discounts, messaging and programme administration. A repeat customer with lower acquisition expense may improve marketplace contribution. A referral can reduce the cost of finding a new paying Tenant or shopper.</w:t>
      </w:r>
    </w:p>
    <w:p>
      <w:r>
        <w:t>Reward discounts reduce earnings unless a Tenant or sponsor bears them. Outstanding rewards may create accounting obligations depending on their terms. Points are not redeemable for cash under the project brief; that restriction does not by itself remove every programme cost or liability.</w:t>
      </w:r>
    </w:p>
    <w:p>
      <w:r>
        <w:t>Do not report issued points, advertised reward values or referral sign-ups as revenue. Measure redeemed reward cost, repeat-purchase contribution, customer retention and net programme benefit. The core financial model gives loyalty no separately invented revenue line, avoiding double-counting orders already recognised through the marketplace.</w:t>
      </w:r>
    </w:p>
    <w:p>
      <w:pPr>
        <w:pStyle w:val="Heading1"/>
        <w:pageBreakBefore/>
      </w:pPr>
      <w:r>
        <w:t>6 Venues subscriptions and gifting</w:t>
      </w:r>
    </w:p>
    <w:p>
      <w:pPr>
        <w:pStyle w:val="Heading1"/>
      </w:pPr>
      <w:r>
        <w:t>Clubs lounges and venue operations</w:t>
      </w:r>
    </w:p>
    <w:p>
      <w:r>
        <w:t>The Venue plan is configured at NGN 150,000 per month. It is intended to serve table management, guest lists, bottle service, bookings and bar inventory. Venue software subscriptions are one earning line; qualifying table-service orders at the specified 9% commission are another.</w:t>
      </w:r>
    </w:p>
    <w:p>
      <w:r>
        <w:t>For example, one paying Venue plus NGN 2,000,000 monthly qualifying table-service GMV would produce NGN 150,000 subscription revenue and NGN 180,000 gross order earnings. Combined gross Company earnings would be NGN 330,000 before direct service costs and shared overhead. Neither that customer nor that volume is confirmed.</w:t>
      </w:r>
    </w:p>
    <w:p>
      <w:r>
        <w:t>If those orders are included in overall marketplace GMV, recognise their 9% earnings there once; do not add the same commission again as an extra venue profit line. A booking deposit and the order settling that deposit are not two independent sales. Avoid recognising a refundable deposit as earned income before the relevant obligation is satisfied.</w:t>
      </w:r>
    </w:p>
    <w:p>
      <w:pPr>
        <w:pStyle w:val="Heading1"/>
      </w:pPr>
      <w:r>
        <w:t>Consumer reorder subscriptions</w:t>
      </w:r>
    </w:p>
    <w:p>
      <w:r>
        <w:t>Stock My Bar is intended to encourage scheduled repeat purchases. The ordinary earnings would come from the margin or commission on fulfilled reorders. A separate consumer membership fee would create additional service revenue only if such a paid service is actually offered, agreed and delivered. No membership tariff or paying consumer subscriber is assumed here.</w:t>
      </w:r>
    </w:p>
    <w:p>
      <w:r>
        <w:t>Recurring purchases can improve demand predictability and spread acquisition expense across actual repeat orders. They also introduce cancellation, stock availability, payment failure and delivery obligations. Existing reorder-related software does not establish a completed live consumer subscription product. Only fulfilled, settled activity should enter performance reports.</w:t>
      </w:r>
    </w:p>
    <w:p>
      <w:pPr>
        <w:pStyle w:val="Heading1"/>
      </w:pPr>
      <w:r>
        <w:t>Gifts hampers and corporate orders</w:t>
      </w:r>
    </w:p>
    <w:p>
      <w:r>
        <w:t>Gifting can earn marketplace commission or spread on drinks, plus separately agreed gift assembly, packaging or service fees. For example, a NGN 100,000 beverage order at an illustrative 11% rate contributes NGN 11,000 gross platform earnings. A separately earned NGN 5,000 wrapping service, costing NGN 3,000 to deliver, contributes a further NGN 2,000 before payment and other order costs.</w:t>
      </w:r>
    </w:p>
    <w:p>
      <w:r>
        <w:t>That NGN 5,000 is not free profit: packaging materials, labour, delivery, customer support and defects must be costed. If the service fee is already included in a basket's revenue base, do not add it a second time. Gift-card cash, wallet balances and party pre-order deposits require liability and fulfilment accounting rather than automatic recognition as profit.</w:t>
      </w:r>
    </w:p>
    <w:p>
      <w:pPr>
        <w:pStyle w:val="Heading1"/>
        <w:pageBreakBefore/>
      </w:pPr>
      <w:r>
        <w:t>7 Custom tenant websites and website management</w:t>
      </w:r>
    </w:p>
    <w:p>
      <w:r>
        <w:t>DrinksHarbour Technologies can earn additional income by designing personal websites for Tenants and providing ongoing website management. A Tenant uses its own brand and domain, while DrinksHarbour supplies the admin system, backend and database. Staff manage products, Tenant selling prices, inventory and orders through their existing DrinksHarbour dashboard rather than maintaining a second operational database.</w:t>
      </w:r>
    </w:p>
    <w:p>
      <w:r>
        <w:t>The bespoke website connects to the Tenant's authorised storefront interfaces. It must preserve Tenant isolation and the central Product plus Tenant-owned SubProduct model. The custom website service adds design and integration work beyond the branded storefront already included in the Tenant's software subscription.</w:t>
      </w:r>
    </w:p>
    <w:p>
      <w:pPr>
        <w:pStyle w:val="Heading1"/>
      </w:pPr>
      <w:r>
        <w:t>Separate charges for additional services</w:t>
      </w:r>
    </w:p>
    <w:tbl>
      <w:tblPr>
        <w:tblW w:type="auto" w:w="0"/>
        <w:jc w:val="center"/>
        <w:tblLayout w:type="fixed"/>
        <w:tblLook w:firstColumn="1" w:firstRow="1" w:lastColumn="0" w:lastRow="0" w:noHBand="0" w:noVBand="1" w:val="04A0"/>
      </w:tblPr>
      <w:tblGrid>
        <w:gridCol w:w="4104"/>
        <w:gridCol w:w="2592"/>
        <w:gridCol w:w="2880"/>
      </w:tblGrid>
      <w:tr>
        <w:trPr>
          <w:tblHeader/>
        </w:trPr>
        <w:tc>
          <w:tcPr>
            <w:tcW w:type="dxa" w:w="410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E8E8E8"/>
          </w:tcPr>
          <w:p>
            <w:pPr>
              <w:spacing w:after="40" w:before="40"/>
            </w:pPr>
            <w:r>
              <w:rPr>
                <w:b/>
                <w:sz w:val="18"/>
              </w:rPr>
              <w:t>Service</w:t>
            </w:r>
          </w:p>
        </w:tc>
        <w:tc>
          <w:tcPr>
            <w:tcW w:type="dxa" w:w="2592"/>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E8E8E8"/>
          </w:tcPr>
          <w:p>
            <w:pPr>
              <w:spacing w:after="40" w:before="40"/>
            </w:pPr>
            <w:r>
              <w:rPr>
                <w:b/>
                <w:sz w:val="18"/>
              </w:rPr>
              <w:t>Charge NGN</w:t>
            </w:r>
          </w:p>
        </w:tc>
        <w:tc>
          <w:tcPr>
            <w:tcW w:type="dxa" w:w="288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E8E8E8"/>
          </w:tcPr>
          <w:p>
            <w:pPr>
              <w:spacing w:after="40" w:before="40"/>
            </w:pPr>
            <w:r>
              <w:rPr>
                <w:b/>
                <w:sz w:val="18"/>
              </w:rPr>
              <w:t>Billing basis</w:t>
            </w:r>
          </w:p>
        </w:tc>
      </w:tr>
      <w:tr>
        <w:tc>
          <w:tcPr>
            <w:tcW w:type="dxa" w:w="410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Custom website design and integration</w:t>
            </w:r>
          </w:p>
        </w:tc>
        <w:tc>
          <w:tcPr>
            <w:tcW w:type="dxa" w:w="2592"/>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From 500,000</w:t>
            </w:r>
          </w:p>
        </w:tc>
        <w:tc>
          <w:tcPr>
            <w:tcW w:type="dxa" w:w="288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One-time project fee</w:t>
            </w:r>
          </w:p>
        </w:tc>
      </w:tr>
      <w:tr>
        <w:tc>
          <w:tcPr>
            <w:tcW w:type="dxa" w:w="410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Website management</w:t>
            </w:r>
          </w:p>
        </w:tc>
        <w:tc>
          <w:tcPr>
            <w:tcW w:type="dxa" w:w="2592"/>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35,000</w:t>
            </w:r>
          </w:p>
        </w:tc>
        <w:tc>
          <w:tcPr>
            <w:tcW w:type="dxa" w:w="288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Monthly service fee</w:t>
            </w:r>
          </w:p>
        </w:tc>
      </w:tr>
    </w:tbl>
    <w:p>
      <w:pPr>
        <w:spacing w:after="40"/>
      </w:pPr>
    </w:p>
    <w:p>
      <w:r>
        <w:t>The founder specified a starting build price of NGN 500,000. NGN 35,000 per month is the proposed management tariff. Final project scope, delivery milestones and payment terms should be confirmed in a written service quote. These are additional service charges, not evidence of completed projects, paying management clients or an automated billing launch.</w:t>
      </w:r>
    </w:p>
    <w:p>
      <w:r>
        <w:t>The proposed starting build covers one Tenant website, up to five content pages plus standard catalogue, product, cart and checkout views, responsive design, integration, two consolidated design revision rounds and launch handover. Management covers routine frontend maintenance, availability and integration checks, and up to two hours of minor content or design changes monthly. Unused hours do not roll over; additional work is separately quoted.</w:t>
      </w:r>
    </w:p>
    <w:p>
      <w:r>
        <w:t>The existing platform subscription remains payable. Standard external integrations require API access, currently available on Pro at NGN 65,000 per month and higher qualifying plans. Pro plus website management therefore totals NGN 100,000 monthly, excluding separately quoted costs. The build starts at NGN 500,000 once. Domain registration and renewals, frontend hosting, third-party tools, applicable taxes, advertising, copywriting, photography, major redesigns and new integrations are separate. Existing transaction terms continue to apply.</w:t>
      </w:r>
    </w:p>
    <w:p>
      <w:pPr>
        <w:pStyle w:val="Heading1"/>
      </w:pPr>
      <w:r>
        <w:t>How service fees become profit</w:t>
      </w:r>
    </w:p>
    <w:p>
      <w:r>
        <w:t>Build contribution equals earned project revenue less design, development, integration, revisions, launch support, payment charges and other direct delivery costs. For illustration, a NGN 500,000 build with NGN 250,000 direct delivery cost and NGN 2,000 collection cost leaves NGN 248,000 before shared overhead and tax. These costs are assumptions, not measured Company margins. Extra revisions and scope expansion reduce contribution unless repriced.</w:t>
      </w:r>
    </w:p>
    <w:p>
      <w:r>
        <w:t>Monthly management contribution equals earned management fees less maintenance labour, monitoring, support and collection costs. An illustrative NGN 35,000 fee less NGN 15,000 labour, NGN 2,500 monitoring/support allocation and NGN 625 collection cost leaves NGN 16,875 before shared overhead and tax. Ten comparable paying clients would produce NGN 350,000 monthly management revenue and NGN 168,750 contribution. This is an arithmetic example, not a sales forecast.</w:t>
      </w:r>
    </w:p>
    <w:p>
      <w:r>
        <w:t>Project deposits do not automatically become earned profit. Recognise build revenue as the agreed service is delivered and management revenue over the service period. Keep build revenue, management revenue and platform subscription revenue separate; do not count the same labour or hosting cost twice. These service contributions are excluded from the core operating scenarios in section 9 until actual customer numbers, fulfilment capacity and costs are established.</w:t>
      </w:r>
    </w:p>
    <w:p>
      <w:pPr>
        <w:pStyle w:val="Heading1"/>
        <w:pageBreakBefore/>
      </w:pPr>
      <w:r>
        <w:t>8 Later distribution and the costs of operating</w:t>
      </w:r>
    </w:p>
    <w:p>
      <w:pPr>
        <w:pStyle w:val="Heading1"/>
      </w:pPr>
      <w:r>
        <w:t>Direct distribution is a different operating model</w:t>
      </w:r>
    </w:p>
    <w:p>
      <w:r>
        <w:t>The business brief places physical distribution in Phase 2, Year 3 or later, with an Abuja flagship and a proposed cost-plus-25% selling approach. This is a strategic direction, not a confirmed opening date or present income stream.</w:t>
      </w:r>
    </w:p>
    <w:p>
      <w:r>
        <w:t>If the Company buys stock for NGN 100,000 and sells it for NGN 125,000, gross trading profit is NGN 25,000. A 25% markup on cost gives a 20% gross margin on selling revenue. Rent, staff, storage, delivery, damaged or expired stock, financing and tax would still reduce net profit.</w:t>
      </w:r>
    </w:p>
    <w:p>
      <w:r>
        <w:t>Unlike an agent marketplace, distribution requires the Company to finance inventory, manage suppliers, bear stock losses and collect receivables. More sales can increase cash strain if customers pay later than suppliers. Stock turnover, credit terms, gross margin and working-capital needs must be modelled before committing acquisition capital to distribution.</w:t>
      </w:r>
    </w:p>
    <w:p>
      <w:r>
        <w:t>This report excludes distribution from the near-term scenarios and the NGN 5,000,000 campaign budget. A software licence transaction is also a separately negotiated activity; earlier software asking-price proposals are not recurring platform sales or evidence of collected revenue.</w:t>
      </w:r>
    </w:p>
    <w:p>
      <w:pPr>
        <w:pStyle w:val="Heading1"/>
      </w:pPr>
      <w:r>
        <w:t>Cost categories the Company must pay</w:t>
      </w:r>
    </w:p>
    <w:p>
      <w:r>
        <w:t>Direct service costs include subscription collection fees, Tenant onboarding and support, incremental cloud use, AI/API calls, order processing and payouts, fulfilment support, delivery subsidies, refunds, chargebacks, fraud losses and attributable customer acquisition. Count a cost in one place only.</w:t>
      </w:r>
    </w:p>
    <w:p>
      <w:r>
        <w:t>Shared overhead includes founder and employee compensation, ongoing software development, security maintenance, baseline infrastructure, accounting, legal support, administration and office expenses. Founder time may currently be unpaid, but sustainable profitability should allow for the cost of replacing that labour.</w:t>
      </w:r>
    </w:p>
    <w:p>
      <w:r>
        <w:t>Current Paystack published local collection pricing is 1.5% plus NGN 100, with that NGN 100 waived below NGN 2,500 and local fees capped at NGN 2,000 per transaction. Applied to separate NGN 85,000 and NGN 35,000 collections, the illustrated charges are NGN 1,375 and NGN 625. Actual provider deductions, taxes, payment channels, failed collections and the party bearing fees must be reconciled.</w:t>
      </w:r>
    </w:p>
    <w:p>
      <w:r>
        <w:t>The current full-price baseline therefore leaves NGN 118,000 after those two collection fees and before other costs. It does not establish positive profit. Payment charges for marketplace orders depend on the actual provider and payout arrangements and are not assumed identical to subscription collections.</w:t>
      </w:r>
    </w:p>
    <w:p>
      <w:pPr>
        <w:pStyle w:val="Heading1"/>
        <w:pageBreakBefore/>
      </w:pPr>
      <w:r>
        <w:t>9 Monthly operating scenarios</w:t>
      </w:r>
    </w:p>
    <w:p>
      <w:r>
        <w:t>These are hypothetical operating states, not dated forecasts. They reuse the project's earlier operating assumptions to show scale and cost effects. Custom website design and management, venue, advertising, gifting service fees and distribution are excluded, so the scenarios do not rely on every future stream launching.</w:t>
      </w:r>
    </w:p>
    <w:p>
      <w:r>
        <w:t>The model assumes NGN 45,000 average monthly subscription revenue per paying Tenant. Add-on adoption averages NGN 2,200 per Tenant across the whole cohort: 10% buy an additional NGN 12,000 shop and 5% an additional NGN 20,000 warehouse. Adoption is drawn from eligible higher-tier customers and represents an average, not a claim that every Tenant buys add-ons.</w:t>
      </w:r>
    </w:p>
    <w:p>
      <w:r>
        <w:t>Average subscription and add-on collection costs total NGN 823 per Tenant. Variable support/infrastructure costs are NGN 5,000 per Tenant. SaaS contribution including add-ons is therefore NGN 41,377 per Tenant. The blended marketplace earning rate is assumed at 11%, distinct from the 13% headline business-plan target and not proof of actual Tenant agreements.</w:t>
      </w:r>
    </w:p>
    <w:p>
      <w:r>
        <w:t>Marketplace direct costs are assumed at 8% of fulfilled GMV: 2% processing/payouts, 3% service/delivery subsidy, 1% incremental loss exposure and 2% shopper acquisition. Net marketplace contribution is 3% of GMV. These cost ratios are planning estimates. GMV already excludes cancelled/refunded sales; the loss allowance must not reverse those same refunds a second time.</w:t>
      </w:r>
    </w:p>
    <w:tbl>
      <w:tblPr>
        <w:tblW w:type="auto" w:w="0"/>
        <w:jc w:val="center"/>
        <w:tblLayout w:type="fixed"/>
        <w:tblLook w:firstColumn="1" w:firstRow="1" w:lastColumn="0" w:lastRow="0" w:noHBand="0" w:noVBand="1" w:val="04A0"/>
      </w:tblPr>
      <w:tblGrid>
        <w:gridCol w:w="3240"/>
        <w:gridCol w:w="1584"/>
        <w:gridCol w:w="1584"/>
        <w:gridCol w:w="1584"/>
        <w:gridCol w:w="1584"/>
      </w:tblGrid>
      <w:tr>
        <w:trPr>
          <w:tblHeader/>
        </w:trPr>
        <w:tc>
          <w:tcPr>
            <w:tcW w:type="dxa" w:w="324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E8E8E8"/>
          </w:tcPr>
          <w:p>
            <w:pPr>
              <w:spacing w:after="40" w:before="40"/>
            </w:pPr>
            <w:r>
              <w:rPr>
                <w:b/>
                <w:sz w:val="18"/>
              </w:rPr>
              <w:t>Monthly measure</w:t>
            </w:r>
          </w:p>
        </w:tc>
        <w:tc>
          <w:tcPr>
            <w:tcW w:type="dxa" w:w="15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E8E8E8"/>
          </w:tcPr>
          <w:p>
            <w:pPr>
              <w:spacing w:after="40" w:before="40"/>
              <w:jc w:val="right"/>
            </w:pPr>
            <w:r>
              <w:rPr>
                <w:b/>
                <w:sz w:val="18"/>
              </w:rPr>
              <w:t>25 Tenants</w:t>
            </w:r>
          </w:p>
        </w:tc>
        <w:tc>
          <w:tcPr>
            <w:tcW w:type="dxa" w:w="15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E8E8E8"/>
          </w:tcPr>
          <w:p>
            <w:pPr>
              <w:spacing w:after="40" w:before="40"/>
              <w:jc w:val="right"/>
            </w:pPr>
            <w:r>
              <w:rPr>
                <w:b/>
                <w:sz w:val="18"/>
              </w:rPr>
              <w:t>50 Tenants</w:t>
            </w:r>
          </w:p>
        </w:tc>
        <w:tc>
          <w:tcPr>
            <w:tcW w:type="dxa" w:w="15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E8E8E8"/>
          </w:tcPr>
          <w:p>
            <w:pPr>
              <w:spacing w:after="40" w:before="40"/>
              <w:jc w:val="right"/>
            </w:pPr>
            <w:r>
              <w:rPr>
                <w:b/>
                <w:sz w:val="18"/>
              </w:rPr>
              <w:t>100 Tenants</w:t>
            </w:r>
          </w:p>
        </w:tc>
        <w:tc>
          <w:tcPr>
            <w:tcW w:type="dxa" w:w="15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E8E8E8"/>
          </w:tcPr>
          <w:p>
            <w:pPr>
              <w:spacing w:after="40" w:before="40"/>
              <w:jc w:val="right"/>
            </w:pPr>
            <w:r>
              <w:rPr>
                <w:b/>
                <w:sz w:val="18"/>
              </w:rPr>
              <w:t>200 Tenants</w:t>
            </w:r>
          </w:p>
        </w:tc>
      </w:tr>
      <w:tr>
        <w:tc>
          <w:tcPr>
            <w:tcW w:type="dxa" w:w="324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Subscription and add-on revenue</w:t>
            </w:r>
          </w:p>
        </w:tc>
        <w:tc>
          <w:tcPr>
            <w:tcW w:type="dxa" w:w="15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1,180,000</w:t>
            </w:r>
          </w:p>
        </w:tc>
        <w:tc>
          <w:tcPr>
            <w:tcW w:type="dxa" w:w="15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2,360,000</w:t>
            </w:r>
          </w:p>
        </w:tc>
        <w:tc>
          <w:tcPr>
            <w:tcW w:type="dxa" w:w="15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4,720,000</w:t>
            </w:r>
          </w:p>
        </w:tc>
        <w:tc>
          <w:tcPr>
            <w:tcW w:type="dxa" w:w="15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9,440,000</w:t>
            </w:r>
          </w:p>
        </w:tc>
      </w:tr>
      <w:tr>
        <w:tc>
          <w:tcPr>
            <w:tcW w:type="dxa" w:w="324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Marketplace GMV</w:t>
            </w:r>
          </w:p>
        </w:tc>
        <w:tc>
          <w:tcPr>
            <w:tcW w:type="dxa" w:w="15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0</w:t>
            </w:r>
          </w:p>
        </w:tc>
        <w:tc>
          <w:tcPr>
            <w:tcW w:type="dxa" w:w="15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5,000,000</w:t>
            </w:r>
          </w:p>
        </w:tc>
        <w:tc>
          <w:tcPr>
            <w:tcW w:type="dxa" w:w="15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10,000,000</w:t>
            </w:r>
          </w:p>
        </w:tc>
        <w:tc>
          <w:tcPr>
            <w:tcW w:type="dxa" w:w="15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40,000,000</w:t>
            </w:r>
          </w:p>
        </w:tc>
      </w:tr>
      <w:tr>
        <w:tc>
          <w:tcPr>
            <w:tcW w:type="dxa" w:w="324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Platform marketplace earnings</w:t>
            </w:r>
          </w:p>
        </w:tc>
        <w:tc>
          <w:tcPr>
            <w:tcW w:type="dxa" w:w="15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0</w:t>
            </w:r>
          </w:p>
        </w:tc>
        <w:tc>
          <w:tcPr>
            <w:tcW w:type="dxa" w:w="15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550,000</w:t>
            </w:r>
          </w:p>
        </w:tc>
        <w:tc>
          <w:tcPr>
            <w:tcW w:type="dxa" w:w="15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1,100,000</w:t>
            </w:r>
          </w:p>
        </w:tc>
        <w:tc>
          <w:tcPr>
            <w:tcW w:type="dxa" w:w="15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4,400,000</w:t>
            </w:r>
          </w:p>
        </w:tc>
      </w:tr>
      <w:tr>
        <w:tc>
          <w:tcPr>
            <w:tcW w:type="dxa" w:w="324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Total Company revenue</w:t>
            </w:r>
          </w:p>
        </w:tc>
        <w:tc>
          <w:tcPr>
            <w:tcW w:type="dxa" w:w="15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1,180,000</w:t>
            </w:r>
          </w:p>
        </w:tc>
        <w:tc>
          <w:tcPr>
            <w:tcW w:type="dxa" w:w="15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2,910,000</w:t>
            </w:r>
          </w:p>
        </w:tc>
        <w:tc>
          <w:tcPr>
            <w:tcW w:type="dxa" w:w="15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5,820,000</w:t>
            </w:r>
          </w:p>
        </w:tc>
        <w:tc>
          <w:tcPr>
            <w:tcW w:type="dxa" w:w="15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13,840,000</w:t>
            </w:r>
          </w:p>
        </w:tc>
      </w:tr>
      <w:tr>
        <w:tc>
          <w:tcPr>
            <w:tcW w:type="dxa" w:w="324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SaaS collection and variable service costs</w:t>
            </w:r>
          </w:p>
        </w:tc>
        <w:tc>
          <w:tcPr>
            <w:tcW w:type="dxa" w:w="15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145,575</w:t>
            </w:r>
          </w:p>
        </w:tc>
        <w:tc>
          <w:tcPr>
            <w:tcW w:type="dxa" w:w="15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291,150</w:t>
            </w:r>
          </w:p>
        </w:tc>
        <w:tc>
          <w:tcPr>
            <w:tcW w:type="dxa" w:w="15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582,300</w:t>
            </w:r>
          </w:p>
        </w:tc>
        <w:tc>
          <w:tcPr>
            <w:tcW w:type="dxa" w:w="15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1,164,600</w:t>
            </w:r>
          </w:p>
        </w:tc>
      </w:tr>
      <w:tr>
        <w:tc>
          <w:tcPr>
            <w:tcW w:type="dxa" w:w="324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Marketplace direct costs</w:t>
            </w:r>
          </w:p>
        </w:tc>
        <w:tc>
          <w:tcPr>
            <w:tcW w:type="dxa" w:w="15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0</w:t>
            </w:r>
          </w:p>
        </w:tc>
        <w:tc>
          <w:tcPr>
            <w:tcW w:type="dxa" w:w="15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400,000</w:t>
            </w:r>
          </w:p>
        </w:tc>
        <w:tc>
          <w:tcPr>
            <w:tcW w:type="dxa" w:w="15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800,000</w:t>
            </w:r>
          </w:p>
        </w:tc>
        <w:tc>
          <w:tcPr>
            <w:tcW w:type="dxa" w:w="15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3,200,000</w:t>
            </w:r>
          </w:p>
        </w:tc>
      </w:tr>
      <w:tr>
        <w:tc>
          <w:tcPr>
            <w:tcW w:type="dxa" w:w="324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Shared monthly overhead</w:t>
            </w:r>
          </w:p>
        </w:tc>
        <w:tc>
          <w:tcPr>
            <w:tcW w:type="dxa" w:w="15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2,500,000</w:t>
            </w:r>
          </w:p>
        </w:tc>
        <w:tc>
          <w:tcPr>
            <w:tcW w:type="dxa" w:w="15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3,000,000</w:t>
            </w:r>
          </w:p>
        </w:tc>
        <w:tc>
          <w:tcPr>
            <w:tcW w:type="dxa" w:w="15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4,000,000</w:t>
            </w:r>
          </w:p>
        </w:tc>
        <w:tc>
          <w:tcPr>
            <w:tcW w:type="dxa" w:w="15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6,000,000</w:t>
            </w:r>
          </w:p>
        </w:tc>
      </w:tr>
      <w:tr>
        <w:tc>
          <w:tcPr>
            <w:tcW w:type="dxa" w:w="324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Operating result before further adjustments</w:t>
            </w:r>
          </w:p>
        </w:tc>
        <w:tc>
          <w:tcPr>
            <w:tcW w:type="dxa" w:w="15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-1,465,575</w:t>
            </w:r>
          </w:p>
        </w:tc>
        <w:tc>
          <w:tcPr>
            <w:tcW w:type="dxa" w:w="15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-781,150</w:t>
            </w:r>
          </w:p>
        </w:tc>
        <w:tc>
          <w:tcPr>
            <w:tcW w:type="dxa" w:w="15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437,700</w:t>
            </w:r>
          </w:p>
        </w:tc>
        <w:tc>
          <w:tcPr>
            <w:tcW w:type="dxa" w:w="15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3,475,400</w:t>
            </w:r>
          </w:p>
        </w:tc>
      </w:tr>
    </w:tbl>
    <w:p>
      <w:pPr>
        <w:spacing w:after="40"/>
      </w:pPr>
    </w:p>
    <w:p>
      <w:r>
        <w:t>All amounts are NGN. Overhead includes staff, baseline development/infrastructure, administration and business acquisition; variable support and shopper acquisition are separately counted. Replace these allocations with actual ledgers to avoid overlap. Results exclude financing, depreciation/amortisation, exceptional items and income tax; they are not distributable net profit.</w:t>
      </w:r>
    </w:p>
    <w:p>
      <w:r>
        <w:t>Subscription prices are treated as net service revenue before any separately charged indirect tax. If actual advertised prices include tax, remove that tax before rerunning the model. Tax obligations depend on actual Company facts and current law; no assumed exemption or blanket tax rate is used here.</w:t>
      </w:r>
    </w:p>
    <w:p>
      <w:pPr>
        <w:pStyle w:val="Heading1"/>
        <w:pageBreakBefore/>
      </w:pPr>
      <w:r>
        <w:t>10 Break even and the main profit drivers</w:t>
      </w:r>
    </w:p>
    <w:p>
      <w:r>
        <w:t>The illustrative model can be summarised as: monthly operating result equals paying Tenants multiplied by NGN 41,377, plus 3% of marketplace GMV, less shared overhead. It is valid only while the stated customer mix, costs and margins remain applicable.</w:t>
      </w:r>
    </w:p>
    <w:p>
      <w:r>
        <w:t>At NGN 4,000,000 monthly overhead and no marketplace contribution, approximately 97 paying Tenants are needed to break even. At the same overhead plus NGN 10,000,000 marketplace GMV at 3% contribution, the threshold falls to approximately 90. These are arithmetic thresholds, not customer forecasts. Overhead and service costs can rise as the business grows.</w:t>
      </w:r>
    </w:p>
    <w:p>
      <w:pPr>
        <w:pStyle w:val="Heading1"/>
      </w:pPr>
      <w:r>
        <w:t>Marketplace margin sensitivity</w:t>
      </w:r>
    </w:p>
    <w:tbl>
      <w:tblPr>
        <w:tblW w:type="auto" w:w="0"/>
        <w:jc w:val="center"/>
        <w:tblLayout w:type="fixed"/>
        <w:tblLook w:firstColumn="1" w:firstRow="1" w:lastColumn="0" w:lastRow="0" w:noHBand="0" w:noVBand="1" w:val="04A0"/>
      </w:tblPr>
      <w:tblGrid>
        <w:gridCol w:w="3672"/>
        <w:gridCol w:w="1944"/>
        <w:gridCol w:w="1944"/>
        <w:gridCol w:w="2016"/>
      </w:tblGrid>
      <w:tr>
        <w:trPr>
          <w:tblHeader/>
        </w:trPr>
        <w:tc>
          <w:tcPr>
            <w:tcW w:type="dxa" w:w="3672"/>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E8E8E8"/>
          </w:tcPr>
          <w:p>
            <w:pPr>
              <w:spacing w:after="40" w:before="40"/>
            </w:pPr>
            <w:r>
              <w:rPr>
                <w:b/>
                <w:sz w:val="18"/>
              </w:rPr>
              <w:t>Effective platform earnings on NGN 10m GMV</w:t>
            </w:r>
          </w:p>
        </w:tc>
        <w:tc>
          <w:tcPr>
            <w:tcW w:type="dxa" w:w="194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E8E8E8"/>
          </w:tcPr>
          <w:p>
            <w:pPr>
              <w:spacing w:after="40" w:before="40"/>
              <w:jc w:val="right"/>
            </w:pPr>
            <w:r>
              <w:rPr>
                <w:b/>
                <w:sz w:val="18"/>
              </w:rPr>
              <w:t>Gross earnings NGN</w:t>
            </w:r>
          </w:p>
        </w:tc>
        <w:tc>
          <w:tcPr>
            <w:tcW w:type="dxa" w:w="194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E8E8E8"/>
          </w:tcPr>
          <w:p>
            <w:pPr>
              <w:spacing w:after="40" w:before="40"/>
              <w:jc w:val="right"/>
            </w:pPr>
            <w:r>
              <w:rPr>
                <w:b/>
                <w:sz w:val="18"/>
              </w:rPr>
              <w:t>Direct costs at 8% NGN</w:t>
            </w:r>
          </w:p>
        </w:tc>
        <w:tc>
          <w:tcPr>
            <w:tcW w:type="dxa" w:w="2016"/>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E8E8E8"/>
          </w:tcPr>
          <w:p>
            <w:pPr>
              <w:spacing w:after="40" w:before="40"/>
              <w:jc w:val="right"/>
            </w:pPr>
            <w:r>
              <w:rPr>
                <w:b/>
                <w:sz w:val="18"/>
              </w:rPr>
              <w:t>Contribution NGN</w:t>
            </w:r>
          </w:p>
        </w:tc>
      </w:tr>
      <w:tr>
        <w:tc>
          <w:tcPr>
            <w:tcW w:type="dxa" w:w="3672"/>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9%</w:t>
            </w:r>
          </w:p>
        </w:tc>
        <w:tc>
          <w:tcPr>
            <w:tcW w:type="dxa" w:w="194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900,000</w:t>
            </w:r>
          </w:p>
        </w:tc>
        <w:tc>
          <w:tcPr>
            <w:tcW w:type="dxa" w:w="194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800,000</w:t>
            </w:r>
          </w:p>
        </w:tc>
        <w:tc>
          <w:tcPr>
            <w:tcW w:type="dxa" w:w="2016"/>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100,000</w:t>
            </w:r>
          </w:p>
        </w:tc>
      </w:tr>
      <w:tr>
        <w:tc>
          <w:tcPr>
            <w:tcW w:type="dxa" w:w="3672"/>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11%</w:t>
            </w:r>
          </w:p>
        </w:tc>
        <w:tc>
          <w:tcPr>
            <w:tcW w:type="dxa" w:w="194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1,100,000</w:t>
            </w:r>
          </w:p>
        </w:tc>
        <w:tc>
          <w:tcPr>
            <w:tcW w:type="dxa" w:w="194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800,000</w:t>
            </w:r>
          </w:p>
        </w:tc>
        <w:tc>
          <w:tcPr>
            <w:tcW w:type="dxa" w:w="2016"/>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300,000</w:t>
            </w:r>
          </w:p>
        </w:tc>
      </w:tr>
      <w:tr>
        <w:tc>
          <w:tcPr>
            <w:tcW w:type="dxa" w:w="3672"/>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13%</w:t>
            </w:r>
          </w:p>
        </w:tc>
        <w:tc>
          <w:tcPr>
            <w:tcW w:type="dxa" w:w="194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1,300,000</w:t>
            </w:r>
          </w:p>
        </w:tc>
        <w:tc>
          <w:tcPr>
            <w:tcW w:type="dxa" w:w="194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800,000</w:t>
            </w:r>
          </w:p>
        </w:tc>
        <w:tc>
          <w:tcPr>
            <w:tcW w:type="dxa" w:w="2016"/>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jc w:val="right"/>
            </w:pPr>
            <w:r>
              <w:rPr>
                <w:b w:val="0"/>
                <w:sz w:val="18"/>
              </w:rPr>
              <w:t>500,000</w:t>
            </w:r>
          </w:p>
        </w:tc>
      </w:tr>
    </w:tbl>
    <w:p>
      <w:pPr>
        <w:spacing w:after="40"/>
      </w:pPr>
    </w:p>
    <w:p>
      <w:r>
        <w:t>Every additional percentage point of retained earnings on NGN 10,000,000 GMV adds NGN 100,000 contribution if costs are unchanged. If marketplace direct costs rise from 8% to 11% at an 11% earning rate, contribution disappears. Order growth alone cannot fix an unprofitable order margin.</w:t>
      </w:r>
    </w:p>
    <w:p>
      <w:r>
        <w:t>At the 100-Tenant operating state, losing ten average Tenants would reduce SaaS contribution by NGN 413,770 if fixed costs do not fall. The illustrative NGN 437,700 surplus would shrink to NGN 23,930. Retention is therefore a profit driver, not simply a customer-success metric.</w:t>
      </w:r>
    </w:p>
    <w:p>
      <w:pPr>
        <w:pStyle w:val="Heading1"/>
      </w:pPr>
      <w:r>
        <w:t>Acquisition payback</w:t>
      </w:r>
    </w:p>
    <w:p>
      <w:r>
        <w:t>Using subscription-only contribution of NGN 39,225 per average Tenant, NGN 150,000 acquisition cost pays back in approximately 3.82 months of paid service. At NGN 300,000, payback is approximately 7.65 months. This excludes add-ons and shared overhead and assumes collections and service costs remain steady.</w:t>
      </w:r>
    </w:p>
    <w:p>
      <w:r>
        <w:t>All-in acquisition cost must include campaign creative, advertising, sales, onboarding and allocated shared spend. A customer who cancels before payback can destroy value even after a successful signup. Do not justify advertising with unverified lifetime value or assumed repeat orders.</w:t>
      </w:r>
    </w:p>
    <w:p>
      <w:r>
        <w:t>Profit improves through paid retention, selective upgrades, profitable order pricing, disciplined discounts, lower failed-payment rates and cost control. Reducing spend on failing channels can improve profit even if total orders grow more slowly.</w:t>
      </w:r>
    </w:p>
    <w:p>
      <w:pPr>
        <w:pStyle w:val="Heading1"/>
        <w:pageBreakBefore/>
      </w:pPr>
      <w:r>
        <w:t>11 What the NGN 5 million investment is intended to achieve</w:t>
      </w:r>
    </w:p>
    <w:p>
      <w:r>
        <w:t>The current investor agreement proposes NGN 5,000,000 for 5% and a six-month advertising/acquisition budget. The use below follows that draft. It is proposed spending, not an executed advertising purchase or evidence that targets will be achieved.</w:t>
      </w:r>
    </w:p>
    <w:tbl>
      <w:tblPr>
        <w:tblW w:type="auto" w:w="0"/>
        <w:jc w:val="center"/>
        <w:tblLayout w:type="fixed"/>
        <w:tblLook w:firstColumn="1" w:firstRow="1" w:lastColumn="0" w:lastRow="0" w:noHBand="0" w:noVBand="1" w:val="04A0"/>
      </w:tblPr>
      <w:tblGrid>
        <w:gridCol w:w="6048"/>
        <w:gridCol w:w="3528"/>
      </w:tblGrid>
      <w:tr>
        <w:trPr>
          <w:tblHeader/>
        </w:trPr>
        <w:tc>
          <w:tcPr>
            <w:tcW w:type="dxa" w:w="604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E8E8E8"/>
          </w:tcPr>
          <w:p>
            <w:pPr>
              <w:spacing w:after="40" w:before="40"/>
            </w:pPr>
            <w:r>
              <w:rPr>
                <w:b/>
                <w:sz w:val="18"/>
              </w:rPr>
              <w:t>Proposed use</w:t>
            </w:r>
          </w:p>
        </w:tc>
        <w:tc>
          <w:tcPr>
            <w:tcW w:type="dxa" w:w="352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E8E8E8"/>
          </w:tcPr>
          <w:p>
            <w:pPr>
              <w:spacing w:after="40" w:before="40"/>
            </w:pPr>
            <w:r>
              <w:rPr>
                <w:b/>
                <w:sz w:val="18"/>
              </w:rPr>
              <w:t>NGN</w:t>
            </w:r>
          </w:p>
        </w:tc>
      </w:tr>
      <w:tr>
        <w:tc>
          <w:tcPr>
            <w:tcW w:type="dxa" w:w="604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Paid advertising</w:t>
            </w:r>
          </w:p>
        </w:tc>
        <w:tc>
          <w:tcPr>
            <w:tcW w:type="dxa" w:w="352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2,250,000</w:t>
            </w:r>
          </w:p>
        </w:tc>
      </w:tr>
      <w:tr>
        <w:tc>
          <w:tcPr>
            <w:tcW w:type="dxa" w:w="604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Creative and landing improvements</w:t>
            </w:r>
          </w:p>
        </w:tc>
        <w:tc>
          <w:tcPr>
            <w:tcW w:type="dxa" w:w="352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750,000</w:t>
            </w:r>
          </w:p>
        </w:tc>
      </w:tr>
      <w:tr>
        <w:tc>
          <w:tcPr>
            <w:tcW w:type="dxa" w:w="604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Demos onboarding and conversion support</w:t>
            </w:r>
          </w:p>
        </w:tc>
        <w:tc>
          <w:tcPr>
            <w:tcW w:type="dxa" w:w="352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1,250,000</w:t>
            </w:r>
          </w:p>
        </w:tc>
      </w:tr>
      <w:tr>
        <w:tc>
          <w:tcPr>
            <w:tcW w:type="dxa" w:w="604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Attribution and campaign operations</w:t>
            </w:r>
          </w:p>
        </w:tc>
        <w:tc>
          <w:tcPr>
            <w:tcW w:type="dxa" w:w="352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500,000</w:t>
            </w:r>
          </w:p>
        </w:tc>
      </w:tr>
      <w:tr>
        <w:tc>
          <w:tcPr>
            <w:tcW w:type="dxa" w:w="604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Contingency</w:t>
            </w:r>
          </w:p>
        </w:tc>
        <w:tc>
          <w:tcPr>
            <w:tcW w:type="dxa" w:w="352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250,000</w:t>
            </w:r>
          </w:p>
        </w:tc>
      </w:tr>
      <w:tr>
        <w:tc>
          <w:tcPr>
            <w:tcW w:type="dxa" w:w="604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Total</w:t>
            </w:r>
          </w:p>
        </w:tc>
        <w:tc>
          <w:tcPr>
            <w:tcW w:type="dxa" w:w="352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tcPr>
          <w:p>
            <w:pPr>
              <w:spacing w:after="40" w:before="40"/>
            </w:pPr>
            <w:r>
              <w:rPr>
                <w:b w:val="0"/>
                <w:sz w:val="18"/>
              </w:rPr>
              <w:t>5,000,000</w:t>
            </w:r>
          </w:p>
        </w:tc>
      </w:tr>
    </w:tbl>
    <w:p>
      <w:pPr>
        <w:spacing w:after="40"/>
      </w:pPr>
    </w:p>
    <w:p>
      <w:r>
        <w:t>The audience split is NGN 3,000,000 for paying beverage businesses and NGN 2,000,000 for shoppers. The draft uses internal spending releases of NGN 1,000,000, then NGN 2,000,000 and NGN 2,000,000, subject to campaign review. The investor pays the full subscription at completion; staged spending does not defer the agreed share allotment.</w:t>
      </w:r>
    </w:p>
    <w:p>
      <w:r>
        <w:t>The first business pilot budget is NGN 600,000, targeting at least four additional active Tenants who each pay twice. That would equal NGN 150,000 all-in acquisition cost per retained Tenant. At the illustrative NGN 45,000 plan average, those four would contribute NGN 180,000 monthly subscription revenue and NGN 156,900 subscription contribution before shared overhead. This is a target calculation, not promised income.</w:t>
      </w:r>
    </w:p>
    <w:p>
      <w:r>
        <w:t>The NGN 400,000 shopper pilot must prove its own economics. At an illustrative NGN 25,000 order, 11% platform earnings and 6% direct costs before acquisition, contribution available to recover acquisition is NGN 1,250 per fulfilled order. Spending NGN 400,000 therefore needs 320 comparable fulfilled orders to recover that acquisition budget. At NGN 625 all-in acquisition cost, it needs 640 orders and leaves NGN 625 per order before shared overhead.</w:t>
      </w:r>
    </w:p>
    <w:p>
      <w:r>
        <w:t>The pilot starts with a smaller shopper media test rather than a duty to spend the whole budget. Business subscription success does not prove shopper profitability. Continue only after reviewing paid retention, settled order contribution and available cash.</w:t>
      </w:r>
    </w:p>
    <w:p>
      <w:r>
        <w:t>Campaign expenditure must still appear in the actual financial records. If the scenario model already includes the same business marketing or shopper acquisition expenses, replace those assumed amounts with actual campaign costs rather than adding them twice. The investment buys resources to test and grow the earning model; it is not itself profit or an automatic dividend fund.</w:t>
      </w:r>
    </w:p>
    <w:p>
      <w:pPr>
        <w:pStyle w:val="Heading1"/>
        <w:pageBreakBefore/>
      </w:pPr>
      <w:r>
        <w:t>12 How Company profit can benefit the 5 percent investor</w:t>
      </w:r>
    </w:p>
    <w:p>
      <w:r>
        <w:t>An ordinary shareholder participates through approved dividends and the value realised on a permitted share sale. The current agreement does not promise monthly interest, capital repayment, a minimum dividend or an exit date. Ownership is 5% immediately after completion and may change through later lawful dilution or transfers.</w:t>
      </w:r>
    </w:p>
    <w:p>
      <w:r>
        <w:t>If the Company produces NGN 12,000,000 in legally distributable after-tax profit and validly approves distributing 40%, the total dividend would be NGN 4,800,000. An investor retaining 5% on equal ordinary-share terms would receive NGN 240,000 before any applicable shareholder tax or withholding. The remaining NGN 7,200,000 would be retained by the Company. This is an example, not a dividend policy already adopted.</w:t>
      </w:r>
    </w:p>
    <w:p>
      <w:r>
        <w:t>Dividends need both a lawful distributable basis and an appropriate cash decision. Prior losses, taxes, working capital and other obligations matter. The positive operating scenario in section 9 does not alone authorise dividends. Tenant settlement money and fresh investment proceeds should not be presented as earned profit available for shareholder distribution.</w:t>
      </w:r>
    </w:p>
    <w:p>
      <w:r>
        <w:t>If a later share sale valued all equity at NGN 300,000,000 and the investor still held 5% with equal rights, its proportional gross sale value would be NGN 15,000,000. A business sale price must be adjusted for debt, cash, transaction structure and senior claims before deriving shareholder proceeds. Taxes, fees and agreement transfer restrictions also affect the amount received. No buyer or such sale value is established.</w:t>
      </w:r>
    </w:p>
    <w:p>
      <w:pPr>
        <w:pStyle w:val="Heading1"/>
      </w:pPr>
      <w:r>
        <w:t>Monthly reporting needed to prove the model</w:t>
      </w:r>
    </w:p>
    <w:p>
      <w:r>
        <w:t>Management should report collected subscription revenue, paid Tenants by plan, cancellations, upgrades, payment failures and location add-ons. For marketplace operations, report fulfilled GMV, actual platform earnings, Tenant amounts payable, provider charges, refunds, delivery/support costs and contribution after acquisition.</w:t>
      </w:r>
    </w:p>
    <w:p>
      <w:r>
        <w:t>Also report completed website builds, active website-management clients, delivery hours and costs, advertising services actually delivered and earned, venue and gifting earnings without duplicate orders, staff and development spend, available Company cash, taxes, debt and remaining campaign budget. A practical operating report must bridge revenue to contribution to net result and explain how that result differs from cash.</w:t>
      </w:r>
    </w:p>
    <w:p>
      <w:r>
        <w:t>The present commercial priority is to prove retained paid software customers and positive marketplace order contribution. Future services can strengthen profit once validated, but they should not be used to hide losses in the current core business.</w:t>
      </w:r>
    </w:p>
    <w:p>
      <w:pPr>
        <w:pStyle w:val="Heading1"/>
        <w:pageBreakBefore/>
      </w:pPr>
      <w:r>
        <w:t>13 Evidence assumptions and how to refresh this report</w:t>
      </w:r>
    </w:p>
    <w:p>
      <w:r>
        <w:t>This is a management and investor explanation, not audited financial statements. Recorded customer status comes from project notes; live bank transactions and provider dashboards were not accessed. Project configuration confirms listed plan prices and defaults, while inspected money paths explain order earnings. Code availability does not establish successful deployment, customer usage or collected revenue.</w:t>
      </w:r>
    </w:p>
    <w:p>
      <w:r>
        <w:t>The original seven business-plan streams are covered: marketplace, Tenant software, advertising, loyalty, venues, subscriptions/gifting and later distribution. They are not seven independent profit totals. Loyalty supports existing channels; venue and gifting orders overlap marketplace activity; distribution requires a separate inventory model. The report also includes the additional custom website design and management offer. The core scenario model deliberately counts only software and marketplace earnings; website service examples are separate and must not be added without their delivery costs.</w:t>
      </w:r>
    </w:p>
    <w:p>
      <w:pPr>
        <w:pStyle w:val="Heading1"/>
      </w:pPr>
      <w:r>
        <w:t>Project evidence reviewed</w:t>
      </w:r>
    </w:p>
    <w:p>
      <w:r>
        <w:t>Plan pricing and add-ons: server/config/erm-plans.js. Marketplace earnings and Tenant payouts: server/controllers/order.controller.js and the associated pricing flow. Recorded traction and planning assumptions: docs/legal/investors/valuation-assumptions.md. Existing scenario calculations: docs/legal/investors/profit-scenarios.csv. Business scope: the project's AGENTS.md. Latest equity terms and acquisition budget: docs/legal/investors/drinksharbour-investor-agreement.md.</w:t>
      </w:r>
    </w:p>
    <w:p>
      <w:r>
        <w:t>The current NGN 5,000,000 for 5% terms supersede older valuation proposals for this equity explanation. Earlier NGN 35m convertible caps, NGN 60m valuation discussions and zero-equity loan drafts do not supply the terms of this investment. No prior historical operating test result is presented as a fresh verification of the live platform.</w:t>
      </w:r>
    </w:p>
    <w:p>
      <w:pPr>
        <w:pStyle w:val="Heading1"/>
      </w:pPr>
      <w:r>
        <w:t>Provider pricing and tax reference, 7 October 2026</w:t>
      </w:r>
    </w:p>
    <w:p>
      <w:r>
        <w:t>Paystack Nigerian transaction pricing: https://support.paystack.com/en/articles/2130306</w:t>
      </w:r>
    </w:p>
    <w:p>
      <w:r>
        <w:t>Paystack pricing and transfer information: https://paystack.com/pricing</w:t>
      </w:r>
    </w:p>
    <w:p>
      <w:r>
        <w:t>Nigeria Tax Act 2025, government-hosted reference identified but not fully reviewed for this report: https://www.nipc.gov.ng/wp-content/uploads/2025/07/Nigeria-Tax-Act-2025.pdf</w:t>
      </w:r>
    </w:p>
    <w:p>
      <w:r>
        <w:t>Published provider prices can change. Actual deductions and tax treatment should be reconciled to invoices and current advice. This report does not apply a Company tax exemption or state a calculated after-tax forecast.</w:t>
      </w:r>
    </w:p>
    <w:p>
      <w:pPr>
        <w:pStyle w:val="Heading1"/>
      </w:pPr>
      <w:r>
        <w:t>Data needed for an actual profit statement</w:t>
      </w:r>
    </w:p>
    <w:p>
      <w:r>
        <w:t>Replace the assumed full-price baseline with invoiced and collected subscription amounts by month, including discounts and taxes. Provide actual staff/founder pay, hosting, development, support, professional fees, campaign expenses, outstanding obligations, cash and debt. Reconcile marketplace collections, Tenant settlements and refunds line by line.</w:t>
      </w:r>
    </w:p>
    <w:p>
      <w:r>
        <w:t>Then replace the scenario assumptions with observed customer mix, retention, acquisition costs and per-order economics. Recalculate the model and cash forecast together. Record the reporting period, evidence and changed assumptions in the source files. Actual Company profit becomes defensible when these records reconcile, rather than when a target valuation or an optimistic growth number is written down.</w:t>
      </w:r>
    </w:p>
    <w:sectPr w:rsidR="00FC693F" w:rsidRPr="0006063C" w:rsidSect="00034616">
      <w:footerReference w:type="default" r:id="rId9"/>
      <w:pgSz w:w="11909" w:h="16834"/>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DrinksHarbour  |  Revenue and profit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47"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47"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DrinksHarbour Earns Revenue and Builds Profit</dc:title>
  <dc:subject>Business model operating economics and investor returns</dc:subject>
  <dc:creator>DrinksHarbour</dc:creator>
  <cp:keywords/>
  <dc:description>generated by python-docx</dc:description>
  <cp:lastModifiedBy/>
  <cp:revision>1</cp:revision>
  <dcterms:created xsi:type="dcterms:W3CDTF">2013-12-23T23:15:00Z</dcterms:created>
  <dcterms:modified xsi:type="dcterms:W3CDTF">2013-12-23T23:15:00Z</dcterms:modified>
  <cp:category/>
</cp:coreProperties>
</file>