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Nigerian Software Pricing Assessment</w:t>
      </w:r>
    </w:p>
    <w:p>
      <w:r>
        <w:rPr>
          <w:b w:val="0"/>
        </w:rPr>
        <w:t>PROPOSED LICENCE PRICE FOR REVIEW</w:t>
      </w:r>
    </w:p>
    <w:p>
      <w:r>
        <w:rPr>
          <w:b w:val="0"/>
        </w:rPr>
        <w:t xml:space="preserve">Prepared on 7 October 2026. The proposed price is </w:t>
      </w:r>
      <w:r>
        <w:rPr>
          <w:b/>
        </w:rPr>
        <w:t>NGN 60,000,000</w:t>
      </w:r>
      <w:r>
        <w:rPr>
          <w:b w:val="0"/>
        </w:rPr>
        <w:t xml:space="preserve"> for a Nigerian buyer to license an agreed version of the DrinksHarbour software for its own branded commercial platform in Nigeria. This is the seller's requested asking price, subject to negotiation, delivery scope and acceptance. It is not an independent valuation of the company or evidence of a buyer offer.</w:t>
      </w:r>
    </w:p>
    <w:p>
      <w:pPr>
        <w:pStyle w:val="Heading1"/>
      </w:pPr>
      <w:r>
        <w:t>Commercial offer and retained ownership</w:t>
      </w:r>
    </w:p>
    <w:p>
      <w:r>
        <w:rPr>
          <w:b w:val="0"/>
        </w:rPr>
        <w:t>The commercial source-code licence is non-exclusive and becomes perpetual after written acceptance and full payment, subject to its express breach and termination terms. The buyer may self-host and modify the identified original software for its agreed hosted beverage platform and customer tenant storefronts in Nigeria. Operation outside Nigeria requires a signed amendment.</w:t>
      </w:r>
    </w:p>
    <w:p>
      <w:r>
        <w:rPr>
          <w:b w:val="0"/>
        </w:rPr>
        <w:t>DrinksHarbour retains ownership of its original code, its domain and brand, its Nigerian operations and the ability to license other buyers. The buyer uses its own branding. No company shares, existing tenant contracts, customer records, production credentials or ownership of drinksharbour.com are included. Onward sale of source-code copies and sublicensing to another platform operator require separate permission.</w:t>
      </w:r>
    </w:p>
    <w:tbl>
      <w:tblPr>
        <w:tblW w:type="auto" w:w="0"/>
        <w:jc w:val="center"/>
        <w:tblLayout w:type="fixed"/>
        <w:tblLook w:firstColumn="1" w:firstRow="1" w:lastColumn="0" w:lastRow="0" w:noHBand="0" w:noVBand="1" w:val="04A0"/>
      </w:tblPr>
      <w:tblGrid>
        <w:gridCol w:w="4032"/>
        <w:gridCol w:w="1872"/>
        <w:gridCol w:w="3701"/>
      </w:tblGrid>
      <w:tr>
        <w:trPr>
          <w:tblHeader/>
          <w:cantSplit/>
        </w:trPr>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Payment stage</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Amount NGN</w:t>
            </w:r>
          </w:p>
        </w:tc>
        <w:tc>
          <w:tcPr>
            <w:tcW w:type="dxa" w:w="37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Condition</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Commencement 30 percent</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18,000,000</w:t>
            </w:r>
          </w:p>
        </w:tc>
        <w:tc>
          <w:tcPr>
            <w:tcW w:type="dxa" w:w="37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Signed schedules and completed commencement conditions</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Delivery 40 percent</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24,000,000</w:t>
            </w:r>
          </w:p>
        </w:tc>
        <w:tc>
          <w:tcPr>
            <w:tcW w:type="dxa" w:w="37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Complete acceptance candidate delivered</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Acceptance 30 percent</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18,000,000</w:t>
            </w:r>
          </w:p>
        </w:tc>
        <w:tc>
          <w:tcPr>
            <w:tcW w:type="dxa" w:w="37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Written acceptance against agreed criteria</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Total licence fee</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60,000,000</w:t>
            </w:r>
          </w:p>
        </w:tc>
        <w:tc>
          <w:tcPr>
            <w:tcW w:type="dxa" w:w="37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Full commercial rights follow acceptance and cleared payment</w:t>
            </w:r>
          </w:p>
        </w:tc>
      </w:tr>
    </w:tbl>
    <w:p>
      <w:pPr>
        <w:spacing w:after="40" w:line="60" w:lineRule="exact"/>
      </w:pPr>
    </w:p>
    <w:p>
      <w:r>
        <w:rPr>
          <w:b w:val="0"/>
        </w:rPr>
        <w:t>Payments are in Nigerian naira to the verified Company account or agreed escrow. Applicable VAT and separately chargeable taxes must be identified on invoices. Required withholding and remittance evidence must follow applicable law; no automatic gross-up is proposed. Counsel must confirm actual tax treatment before payment.</w:t>
      </w:r>
    </w:p>
    <w:p>
      <w:pPr>
        <w:pStyle w:val="Heading1"/>
      </w:pPr>
      <w:r>
        <w:t>Included scope and separately priced work</w:t>
      </w:r>
    </w:p>
    <w:p>
      <w:r>
        <w:rPr>
          <w:b w:val="0"/>
        </w:rPr>
        <w:t>The licence covers the agreed source snapshot, feature list, dependency and third-party inventory, build/deployment documentation and synthetic demonstration data. It proposes 20 hours of handover support over 30 days after acceptance and a 90-day period for correction of reproducible material departures from the signed specification existing at acceptance.</w:t>
      </w:r>
    </w:p>
    <w:p>
      <w:r>
        <w:rPr>
          <w:b w:val="0"/>
        </w:rPr>
        <w:t>Hosting, payment-provider configuration or changes, migration, new features, additional integrations and ongoing support require separately signed scope and pricing unless expressly included in the software schedule. Essential third-party permissions must be reviewed before commencement payment. Commercial templates and open-source components remain governed by their own terms.</w:t>
      </w:r>
    </w:p>
    <w:p>
      <w:pPr>
        <w:pStyle w:val="Heading1"/>
        <w:pageBreakBefore/>
      </w:pPr>
      <w:r>
        <w:t>Evidence and limits of the asking price</w:t>
      </w:r>
    </w:p>
    <w:p>
      <w:r>
        <w:rPr>
          <w:b w:val="0"/>
        </w:rPr>
        <w:t>The previously reviewed repository integrates subscription billing, catalogue and tenant stock, inventory, POS, purchasing, accounting, order payout calculations and venue workflows. The founder confirms two paying tenants on Enterprise and Growth, no online sales, and company ownership of the code and domain. These statements are not independently audited. Configured full monthly subscription prices imply NGN 120,000 before expenses; actual receipts, operating costs, cash and debt remain unverified.</w:t>
      </w:r>
    </w:p>
    <w:p>
      <w:r>
        <w:rPr>
          <w:b w:val="0"/>
        </w:rPr>
        <w:t>The platform can earn subscription fees and agreed marketplace commission or markup. Online transaction income remains unproven because no online sales have been reported. Advertising, venue, gifting and other planned streams must not be counted as existing revenue or assured profit. A licence buyer may value the software's useful workflows and implementation time saved, but that value depends on the buyer's actual requirements and the quality of the deliverable.</w:t>
      </w:r>
    </w:p>
    <w:p>
      <w:r>
        <w:rPr>
          <w:b w:val="0"/>
        </w:rPr>
        <w:t>Earlier backend verification recorded 3,405 passing tests with two skipped. That historical result does not prove a complete frontend release, live provider workflow, buyer-environment deployment or permission to transfer every component. The admin originated from an Isomorphic template; commercial template, media and dependency rights require review.</w:t>
      </w:r>
    </w:p>
    <w:p>
      <w:r>
        <w:rPr>
          <w:b w:val="0"/>
        </w:rPr>
      </w:r>
      <w:r>
        <w:rPr>
          <w:b/>
        </w:rPr>
        <w:t>NGN 60 million is the seller's proposed asking price.</w:t>
      </w:r>
      <w:r>
        <w:rPr>
          <w:b w:val="0"/>
        </w:rPr>
        <w:t xml:space="preserve"> It is not an exchange-rate conversion of the earlier dollar quote, a proven market price or a revision of the earlier NGN 35 million fundraising discussion. No completed Nigerian software-sale comparable or accepted purchaser quotation substantiating this price has been verified. The agreed software rights and actual buyer feedback must support the final negotiation.</w:t>
      </w:r>
    </w:p>
    <w:p>
      <w:pPr>
        <w:pStyle w:val="Heading1"/>
      </w:pPr>
      <w:r>
        <w:t>Separate transactions and next steps</w:t>
      </w:r>
    </w:p>
    <w:p>
      <w:r>
        <w:rPr>
          <w:b w:val="0"/>
        </w:rPr>
        <w:t>Exclusive ownership of transferable original software IP is outside this licence and has no agreed naira price. It requires a separate assignment agreement and express treatment of any rights DrinksHarbour needs to continue operating. The current non-exclusive licence transfers no ownership of the underlying original software.</w:t>
      </w:r>
    </w:p>
    <w:p>
      <w:r>
        <w:rPr>
          <w:b w:val="0"/>
        </w:rPr>
        <w:t>The staged NGN 5 million advertising facility remains a separate non-convertible proposal with no equity. This NGN 60 million software fee does not increase that loan, revise its terms or set a conversion cap. The earlier convertible agreement is retained as a historical alternative and is not incorporated into this licence.</w:t>
      </w:r>
    </w:p>
    <w:p>
      <w:r>
        <w:rPr>
          <w:b w:val="0"/>
        </w:rPr>
        <w:t>Before signing, confirm the Nigerian buyer's legal identity and corporate authority, agreed hosted offering, release version, source-title evidence, third-party inventory, delivery date, acceptance environment and measurable test criteria. Demonstrate the agreed workflows, obtain counsel review and complete the signed schedules. No purchaser contact, code disclosure, signature or funds transfer has been authorised by preparation of these documents.</w:t>
      </w:r>
    </w:p>
    <w:p>
      <w:pPr>
        <w:pStyle w:val="Heading1"/>
      </w:pPr>
      <w:r>
        <w:t>Sources and status</w:t>
      </w:r>
    </w:p>
    <w:p>
      <w:r>
        <w:rPr>
          <w:b w:val="0"/>
        </w:rPr>
        <w:t>WIPO licensing guidance supports defining the licensed rights and scope; it does not substantiate the NGN 60 million price: https://www.wipo.int/en/web/ip-commercialization/w/blog/ip-licensing-strategies-for-ventures</w:t>
      </w:r>
    </w:p>
    <w:p>
      <w:r>
        <w:rPr>
          <w:b w:val="0"/>
        </w:rPr>
        <w:t>Nigeria Data Protection Commission guidance describes the domestic data-protection framework; software delivery does not transfer existing customer data: https://ndpc.gov.ng/faqs/</w:t>
      </w:r>
    </w:p>
    <w:p>
      <w:r>
        <w:rPr>
          <w:b w:val="0"/>
        </w:rPr>
        <w:t>The Commercial Software Licence Agreement Word draft is the corresponding proposed contract. Its fee, parties, Nigerian territory, payment stages and liability limit have been updated together. Material blanks and legal review remain outstanding.</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Review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Nigerian Software Pricing Assessment</dc:title>
  <dc:subject>Proposed terms for review, not executed</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