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Group 28: NVDA Buy the Dip Strategy Report (Revised)</w:t>
      </w:r>
    </w:p>
    <w:p>
      <w:pPr>
        <w:pStyle w:val="Heading1"/>
      </w:pPr>
      <w:r>
        <w:t>Introduction</w:t>
      </w:r>
    </w:p>
    <w:p>
      <w:r>
        <w:t>This report evaluates a mean-reversion 'Buy the Dip' strategy applied to NVDA. Based on latest ML and Quantitative evaluations, we have updated our visual and performance analysis.</w:t>
      </w:r>
    </w:p>
    <w:p>
      <w:pPr>
        <w:pStyle w:val="Heading1"/>
      </w:pPr>
      <w:r>
        <w:t>Exploratory Data Analysis (EDA)</w:t>
      </w:r>
    </w:p>
    <w:p>
      <w:r>
        <w:t>Based on feedback from Quantitative and ML analysis, we improved the EDA to show non-stationarity, tail-risks, and drawdown duration: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pr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Log-scale price chart with 50/200 day SMAs, Volatility Regime mapping, rolling Z-score (dip threshold), and rolling Hurst Exponent.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d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Kernel Density Estimation showing heavy tails and leptokurtosis in NVDA compared to SPY.</w:t>
      </w:r>
    </w:p>
    <w:p>
      <w:r>
        <w:drawing>
          <wp:inline xmlns:a="http://schemas.openxmlformats.org/drawingml/2006/main" xmlns:pic="http://schemas.openxmlformats.org/drawingml/2006/picture">
            <wp:extent cx="5486400" cy="47026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drawdow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2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Underwater drawdown chart, rolling correlation with SPY, and rolling Volatility clustering.</w:t>
      </w:r>
    </w:p>
    <w:p>
      <w:pPr>
        <w:pStyle w:val="Heading1"/>
      </w:pPr>
      <w:r>
        <w:t>Performance Evaluation</w:t>
      </w:r>
    </w:p>
    <w:p>
      <w:r>
        <w:t>Our out-of-sample ML model evaluation is structured into three rigorous Tear-Sheet panels:</w:t>
      </w:r>
    </w:p>
    <w:p>
      <w:r>
        <w:drawing>
          <wp:inline xmlns:a="http://schemas.openxmlformats.org/drawingml/2006/main" xmlns:pic="http://schemas.openxmlformats.org/drawingml/2006/picture">
            <wp:extent cx="5486400" cy="3918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_her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Hero Chart - Cumulative Returns (Log Scale) proving alpha over Buy &amp; Hold, and the synchronized Underwater Drawdown Profile.</w:t>
      </w:r>
    </w:p>
    <w:p>
      <w:r>
        <w:drawing>
          <wp:inline xmlns:a="http://schemas.openxmlformats.org/drawingml/2006/main" xmlns:pic="http://schemas.openxmlformats.org/drawingml/2006/picture">
            <wp:extent cx="5486400" cy="3918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_rolling_ris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Rolling 6-Month Sharpe Ratio and Beta. This demonstrates the consistency of the risk-adjusted edge and market exposure dynamically.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_trade_d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6: Return distribution exclusively on active trading days, detailing Win Rate and Mean Return asymmetry.</w:t>
      </w:r>
    </w:p>
    <w:p>
      <w:pPr>
        <w:pStyle w:val="Heading1"/>
      </w:pPr>
      <w:r>
        <w:t>Conclusion &amp; Original Text Excerpts</w:t>
      </w:r>
    </w:p>
    <w:p>
      <w:r>
        <w:t>Below are selected excerpts from the original extracted text for continuity:</w:t>
      </w:r>
    </w:p>
    <w:p>
      <w:r>
        <w:t>NATIONAL UNIVERSITY OF SINGAPORE</w:t>
        <w:br/>
        <w:t>Department of Data Science and Analytics</w:t>
        <w:br/>
        <w:t>DSA5205: Machine Learning in Finance</w:t>
        <w:br/>
        <w:t xml:space="preserve">Design, Validate, and Analyze an Original Asset </w:t>
        <w:br/>
        <w:t>Trading Strategy</w:t>
        <w:br/>
        <w:t xml:space="preserve">An Empirical Investigation into High-Dimensional Mean Reversion under </w:t>
        <w:br/>
        <w:t>Secular Momentum: “Buy the Dip” on NVIDIA (NVDA)</w:t>
        <w:br/>
        <w:t>Group ID: Group 28</w:t>
        <w:br/>
        <w:t>Team Allocation:</w:t>
        <w:br/>
        <w:t>Member 1: Strategy Design, Data Infrastructure, &amp; EDA</w:t>
        <w:br/>
        <w:t>Member 2: Feature Engineering, Regularization, &amp; Cross-Validation</w:t>
        <w:br/>
        <w:t>Member 3: Execution Logic, Backtesting Engine, &amp; Performance Analysis</w:t>
        <w:br/>
        <w:t>Academic Term: AY 2026/2027</w:t>
        <w:br/>
        <w:t>Submission Date: October 2026</w:t>
        <w:br/>
        <w:t>1</w:t>
        <w:br/>
        <w:t>DSA5205 Project 2 | Group 28: Buy the Dip Strategy</w:t>
        <w:br/>
        <w:t>Executive Summary &amp; Abstract</w:t>
        <w:br/>
        <w:t>Abstract — This research investigation implements, validates, and analyzes an original system -</w:t>
        <w:br/>
        <w:t xml:space="preserve">atic asset trading strategy designed to exploit short-term mean-reverting anomalies (“buying the </w:t>
        <w:br/>
        <w:t xml:space="preserve">dip”) on NVIDIA Corporation (NVDA) over a multi-year macroeconomic cycle (January 2015 – </w:t>
        <w:br/>
        <w:t xml:space="preserve">January 2024). High-growth technology equities frequently exhibit severe short-term behavioral </w:t>
        <w:br/>
        <w:t xml:space="preserve">overreactions driven by institutional liquidity cascades, margin de-leveraging, and retail sentiment </w:t>
        <w:br/>
        <w:t xml:space="preserve">shocks. Using a penalized Ridge regression framework (𝐿2 regularization) motivated by modern </w:t>
        <w:br/>
        <w:t xml:space="preserve">high-dimensional learning theory (Kelly, Malamud, and Zhou, 2024), we formulate a predictive </w:t>
        <w:br/>
        <w:t xml:space="preserve">model mapping historical return structures and moving average divergences to forward one-day </w:t>
        <w:br/>
        <w:t>excess returns.</w:t>
        <w:br/>
        <w:t>To eliminate common pitfalls in quantitative asset pricing, we implement rigorous methodolog -</w:t>
        <w:br/>
        <w:t xml:space="preserve">ical safeguards: strict chronological partitioning (80% Train/Val, 20% Out-of-Sample Holdout), </w:t>
        <w:br/>
        <w:t xml:space="preserve">leakage-free feature standardization via expanding-window TimeSeriesSplit cross-validation, </w:t>
        <w:br/>
        <w:t xml:space="preserve">static outlier bounds, and realistic Market-On-Close (MOC) execution penalizing round-trip </w:t>
        <w:br/>
        <w:t>turnover by 10 basis points (0.10%).</w:t>
        <w:br/>
        <w:t xml:space="preserve">In out-of-sample evaluation across 449 trading days, our strategy generates an annualized return </w:t>
        <w:br/>
        <w:t xml:space="preserve">of 46.06%, an annualized volatility of 54.12%, and a Sharpe ratio of 0.85 (net of costs), </w:t>
        <w:br/>
        <w:t xml:space="preserve">substantially outperforming the broad US equity market benchmark SPY (Annualized Return: </w:t>
        <w:br/>
        <w:t xml:space="preserve">7.96%, Sharpe Ratio: 0.41). While the strategy achieves robust risk-adjusted alpha over the </w:t>
        <w:br/>
        <w:t>market, it intentionally underperforms the unconstrained Buy-and-Hold NVDA benchmark (An-</w:t>
        <w:br/>
        <w:t xml:space="preserve">nualized Return: 54.18%, Sharpe: 0.98). We demonstrate that this underperformance represents </w:t>
        <w:br/>
        <w:t xml:space="preserve">an inevitable mathematical consequence of contrarian timing in a secular, generative-AI-fueled </w:t>
        <w:br/>
        <w:t xml:space="preserve">momentum regime: by design, the model shifts capital into risk-free cash during extended vertical </w:t>
        <w:br/>
        <w:t>runs, trading away maximum upside capture to curb catastrophic drawdowns.</w:t>
        <w:br/>
        <w:t>Contents</w:t>
        <w:br/>
        <w:t>Executive Summary &amp; Abstract . . . . . . . . . . . . . . . . . . . . . . . . . . . . . . . . . . . . . . . . . . . . . . . . . . . . . . . . . . . . . . . . . . . . . 2</w:t>
        <w:br/>
        <w:t>1 Introduction &amp; Economic Story . . . . . . . . . . . . . . . . . . . . . . . . . . . . . . . . . . . . . . . . . . . . . . . . . . . . . . .</w:t>
        <w:br/>
        <w:t>...[truncated for brevity]...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