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Group 28 Project 2: Design, Validate, and Analyze an Original Asset Trading Strategy</w:t>
      </w:r>
    </w:p>
    <w:p>
      <w:pPr>
        <w:jc w:val="center"/>
      </w:pPr>
      <w:r>
        <w:t>Authors: Group 28</w:t>
        <w:br/>
        <w:t>Date: October 2026</w:t>
        <w:br/>
        <w:t>Course: DSA5205</w:t>
      </w:r>
    </w:p>
    <w:p>
      <w:r>
        <w:br w:type="page"/>
      </w:r>
    </w:p>
    <w:p>
      <w:pPr>
        <w:pStyle w:val="Heading1"/>
      </w:pPr>
      <w:r>
        <w:t>1 Introduction &amp; Economic Story</w:t>
      </w:r>
    </w:p>
    <w:p>
      <w:pPr>
        <w:jc w:val="both"/>
      </w:pPr>
      <w:r>
        <w:t>. . . . . . . . . . . . . . . . . . . . . . . . . . . . . . . . . . . . . . . . . . . . . . . . . . . . . . . . . . . . . . . . . 4</w:t>
        <w:br/>
        <w:t>1.1 Theoretical Context in Quantitative Finance . . . . . . . . . . . . . . . . . . . . . . . . . . . . . . . . . . . . . . . . . . . . . . . 4</w:t>
        <w:br/>
        <w:t>1.2 The "Buy the Dip" Hypothesis . . . . . . . . . . . . . . . . . . . . . . . . . . . . . . . . . . . . . . . . . . . . . . . . . . . . . . . . . . . . 4</w:t>
        <w:br/>
        <w:t>1.3 The Role of Machine Learning: Embracing the Virtue of Complexity . . . . . . . . . . . . . . . . . . . . . . 4</w:t>
      </w:r>
    </w:p>
    <w:p>
      <w:pPr>
        <w:pStyle w:val="Heading1"/>
      </w:pPr>
      <w:r>
        <w:t>2 Markets, Assets, and Timing Mechanics</w:t>
      </w:r>
    </w:p>
    <w:p>
      <w:pPr>
        <w:jc w:val="both"/>
      </w:pPr>
      <w:r>
        <w:t>. . . . . . . . . . . . . . . . . . . . . . . . . . . . . . . . . . . . . . . . . . . . . . . . . . 6</w:t>
        <w:br/>
        <w:t>2.1 Asset Selection: NVIDIA Corporation (NVDA) . . . . . . . . . . . . . . . . . . . . . . . . . . . . . . . . . . . . . . . . . . . 6</w:t>
        <w:br/>
        <w:t>2.2 Trading Frequency &amp; Calendar . . . . . . . . . . . . . . . . . . . . . . . . . . . . . . . . . . . . . . . . . . . . . . . . . . . . . . . . . . . . 6</w:t>
        <w:br/>
        <w:t>2.3 Execution Mechanics &amp; Elimination of Look-Ahead Bias . . . . . . . . . . . . . . . . . . . . . . . . . . . . . . . . . 7</w:t>
        <w:br/>
        <w:t>2.4 Investable Benchmarks . . . . . . . . . . . . . . . . . . . . . . . . . . . . . . . . . . . . . . . . . . . . . . . . . . . . . . . . . . . . . . . . . . . . 7</w:t>
      </w:r>
    </w:p>
    <w:p>
      <w:pPr>
        <w:jc w:val="center"/>
      </w:pPr>
      <w:r>
        <w:drawing>
          <wp:inline xmlns:a="http://schemas.openxmlformats.org/drawingml/2006/main" xmlns:pic="http://schemas.openxmlformats.org/drawingml/2006/picture">
            <wp:extent cx="5029200" cy="2514600"/>
            <wp:docPr id="1" name="Picture 1"/>
            <wp:cNvGraphicFramePr>
              <a:graphicFrameLocks noChangeAspect="1"/>
            </wp:cNvGraphicFramePr>
            <a:graphic>
              <a:graphicData uri="http://schemas.openxmlformats.org/drawingml/2006/picture">
                <pic:pic>
                  <pic:nvPicPr>
                    <pic:cNvPr id="0" name="eda_1_price.png"/>
                    <pic:cNvPicPr/>
                  </pic:nvPicPr>
                  <pic:blipFill>
                    <a:blip r:embed="rId9"/>
                    <a:stretch>
                      <a:fillRect/>
                    </a:stretch>
                  </pic:blipFill>
                  <pic:spPr>
                    <a:xfrm>
                      <a:off x="0" y="0"/>
                      <a:ext cx="5029200" cy="2514600"/>
                    </a:xfrm>
                    <a:prstGeom prst="rect"/>
                  </pic:spPr>
                </pic:pic>
              </a:graphicData>
            </a:graphic>
          </wp:inline>
        </w:drawing>
      </w:r>
    </w:p>
    <w:p>
      <w:pPr>
        <w:jc w:val="center"/>
      </w:pPr>
      <w:r>
        <w:t>Figure 1: Log-scale price chart of NVDA with 50-day and 200-day Simple Moving Averages.</w:t>
      </w:r>
    </w:p>
    <w:p>
      <w:pPr>
        <w:pStyle w:val="Heading1"/>
      </w:pPr>
      <w:r>
        <w:t>3 Labels, Features, and Data Integrity</w:t>
      </w:r>
    </w:p>
    <w:p>
      <w:pPr>
        <w:jc w:val="both"/>
      </w:pPr>
      <w:r>
        <w:t>. . . . . . . . . . . . . . . . . . . . . . . . . . . . . . . . . . . . . . . . . . . . . . . . . . . . . . 8</w:t>
        <w:br/>
        <w:t>3.1 Data Sourcing and Corporate Action Adjustments . . . . . . . . . . . . . . . . . . . . . . . . . . . . . . . . . . . . . . . . . 8</w:t>
        <w:br/>
        <w:t>3.2 Label Formulation (Prediction Target) . . . . . . . . . . . . . . . . . . . . . . . . . . . . . . . . . . . . . . . . . . . . . . . . . . . . . 8</w:t>
        <w:br/>
        <w:t>3.3 Feature Space Engineering . . . . . . . . . . . . . . . . . . . . . . . . . . . . . . . . . . . . . . . . . . . . . . . . . . . . . . . . . . . . . . . . 8</w:t>
        <w:br/>
        <w:t>3.4 Mathematical Formulas for Engineered Features . . . . . . . . . . . . . . . . . . . . . . . . . . . . . . . . . . . . . . . . . . . 9</w:t>
        <w:br/>
        <w:t>2</w:t>
        <w:br/>
        <w:t>DSA5205 Project 2 | Group 28: Buy the Dip Strategy</w:t>
        <w:br/>
        <w:t>3.5 Data Cleaning &amp; Outlier Mitigation . . . . . . . . . . . . . . . . . . . . . . . . . . . . . . . . . . . . . . . . . . . . . . . . . . . . . . . 9</w:t>
      </w:r>
    </w:p>
    <w:p>
      <w:pPr>
        <w:pStyle w:val="Heading2"/>
      </w:pPr>
      <w:r>
        <w:t>Iterative Expert Review &amp; Iteration</w:t>
      </w:r>
    </w:p>
    <w:p>
      <w:pPr>
        <w:jc w:val="both"/>
      </w:pPr>
      <w:r>
        <w:t>To strictly mitigate the risk of strategy degradation in non-stationary financial environments, the model dynamically qualifies market regimes through the continuous estimation of the rolling Hurst exponent ($H$). Unlike static models that implicitly assume global weak-sense stationarity, the rolling Hurst exponent provides a localized, mathematically rigorous measure of the asset's autocorrelation structure and long-range dependence. By enforcing a strict gating mechanism that requires $H &lt; 0.5$, the model explicitly restricts capital deployment to anti-persistent, inherently mean-reverting market phases. This dynamic regime-switching framework ensures that the strategy refrains from activating during momentum-driven trending or purely stochastic random walk phases ($H \ge 0.5$). Consequently, this prevents the spurious extrapolation of historical price dynamics into structurally incompatible regimes, significantly enhancing the model's out-of-sample generalization.</w:t>
      </w:r>
    </w:p>
    <w:p>
      <w:pPr>
        <w:jc w:val="both"/>
      </w:pPr>
      <w:r>
        <w:t>Operating conditionally within these mathematically validated mean-reverting environments, the strategy employs adaptive Z-score thresholding to identify statistically significant price dislocations. Rather than relying on rigid, over-optimized percentage drawdowns--which are highly susceptible to curve-fitting and parametric decay--the rolling Z-score continuously standardizes price deviations relative to a dynamically updating local mean and volatility distribution. This transformation effectively projects the inherently non-stationary price series into a normalized probability space, allowing the model to trigger entries only when deviations cross a statistically anomalous standard deviation threshold. By anchoring the algorithmic definition of a "dip" to continuous probabilistic bounds rather than fixed scalar values, the model inherently adapts to heteroskedastic volatility clusters. This adaptability fundamentally reduces the false-positive rate of trade execution and minimizes the likelihood of overfitting to an isolated historical volatility regime.</w:t>
      </w:r>
    </w:p>
    <w:p>
      <w:pPr>
        <w:jc w:val="both"/>
      </w:pPr>
      <w:r>
        <w:t>The architectural synthesis of the rolling Hurst exponent gating and dynamic Z-score thresholding establishes a robust, dual-layered defense against overfitting, anchoring the strategy's alpha generation in structural market mechanics rather than localized empirical anomalies. By requiring the simultaneous satisfaction of a topological constraint (a verified anti-persistent memory structure) and a statistical constraint (a tail-event price deviation), the operational state space of permissible trades is rigorously bounded. This non-linear regularization ensures that the trading logic avoids memorizing historical noise, instead exploiting persistent mathematical inefficiencies that arise from temporary liquidity dislocations. As a result, the algorithmic framework exhibits superior generalization capabilities, preserving its predictive validity across unobserved market conditions and drastically curtailing the out-of-sample performance degradation typically endemic to over-parameterized quantitative strategies.</w:t>
      </w:r>
    </w:p>
    <w:p>
      <w:pPr>
        <w:jc w:val="center"/>
      </w:pPr>
      <w:r>
        <w:drawing>
          <wp:inline xmlns:a="http://schemas.openxmlformats.org/drawingml/2006/main" xmlns:pic="http://schemas.openxmlformats.org/drawingml/2006/picture">
            <wp:extent cx="5029200" cy="2011680"/>
            <wp:docPr id="2" name="Picture 2"/>
            <wp:cNvGraphicFramePr>
              <a:graphicFrameLocks noChangeAspect="1"/>
            </wp:cNvGraphicFramePr>
            <a:graphic>
              <a:graphicData uri="http://schemas.openxmlformats.org/drawingml/2006/picture">
                <pic:pic>
                  <pic:nvPicPr>
                    <pic:cNvPr id="0" name="eda_2_zscore.png"/>
                    <pic:cNvPicPr/>
                  </pic:nvPicPr>
                  <pic:blipFill>
                    <a:blip r:embed="rId10"/>
                    <a:stretch>
                      <a:fillRect/>
                    </a:stretch>
                  </pic:blipFill>
                  <pic:spPr>
                    <a:xfrm>
                      <a:off x="0" y="0"/>
                      <a:ext cx="5029200" cy="2011680"/>
                    </a:xfrm>
                    <a:prstGeom prst="rect"/>
                  </pic:spPr>
                </pic:pic>
              </a:graphicData>
            </a:graphic>
          </wp:inline>
        </w:drawing>
      </w:r>
    </w:p>
    <w:p>
      <w:pPr>
        <w:jc w:val="center"/>
      </w:pPr>
      <w:r>
        <w:t>Figure 2: Rolling 50-day Z-score defining explicit thresholds for mean-reversion activation.</w:t>
      </w:r>
    </w:p>
    <w:p>
      <w:pPr>
        <w:jc w:val="center"/>
      </w:pPr>
      <w:r>
        <w:drawing>
          <wp:inline xmlns:a="http://schemas.openxmlformats.org/drawingml/2006/main" xmlns:pic="http://schemas.openxmlformats.org/drawingml/2006/picture">
            <wp:extent cx="5029200" cy="2011680"/>
            <wp:docPr id="3" name="Picture 3"/>
            <wp:cNvGraphicFramePr>
              <a:graphicFrameLocks noChangeAspect="1"/>
            </wp:cNvGraphicFramePr>
            <a:graphic>
              <a:graphicData uri="http://schemas.openxmlformats.org/drawingml/2006/picture">
                <pic:pic>
                  <pic:nvPicPr>
                    <pic:cNvPr id="0" name="eda_3_hurst.png"/>
                    <pic:cNvPicPr/>
                  </pic:nvPicPr>
                  <pic:blipFill>
                    <a:blip r:embed="rId11"/>
                    <a:stretch>
                      <a:fillRect/>
                    </a:stretch>
                  </pic:blipFill>
                  <pic:spPr>
                    <a:xfrm>
                      <a:off x="0" y="0"/>
                      <a:ext cx="5029200" cy="2011680"/>
                    </a:xfrm>
                    <a:prstGeom prst="rect"/>
                  </pic:spPr>
                </pic:pic>
              </a:graphicData>
            </a:graphic>
          </wp:inline>
        </w:drawing>
      </w:r>
    </w:p>
    <w:p>
      <w:pPr>
        <w:jc w:val="center"/>
      </w:pPr>
      <w:r>
        <w:t>Figure 3: 60-day Rolling Hurst Exponent isolating true mean-reverting regimes (H &lt; 0.5).</w:t>
      </w:r>
    </w:p>
    <w:p>
      <w:pPr>
        <w:pStyle w:val="Heading1"/>
      </w:pPr>
      <w:r>
        <w:t>4 Econometric Methodology &amp; Overfitting Controls</w:t>
      </w:r>
    </w:p>
    <w:p>
      <w:pPr>
        <w:jc w:val="both"/>
      </w:pPr>
      <w:r>
        <w:t>. . . . . . . . . . . . . . . . . . . . . . . . . . . . . . . . . . . . . . 10</w:t>
        <w:br/>
        <w:t>4.1 High-Dimensional Linear Framework . . . . . . . . . . . . . . . . . . . . . . . . . . . . . . . . . . . . . . . . . . . . . . . . . . . . 10</w:t>
        <w:br/>
        <w:t>4.2 Multicollinearity and Variance Explosion . . . . . . . . . . . . . . . . . . . . . . . . . . . . . . . . . . . . . . . . . . . . . . . . . 10</w:t>
        <w:br/>
        <w:t>4.3 Ridge Shrinkage (𝐿2 Regularization) . . . . . . . . . . . . . . . . . . . . . . . . . . . . . . . . . . . . . . . . . . . . . . . . . . . . . 10</w:t>
        <w:br/>
        <w:t>4.4 Why Ridge over LASSO (𝐿1)? . . . . . . . . . . . . . . . . . . . . . . . . . . . . . . . . . . . . . . . . . . . . . . . . . . . . . . . . . . . 11</w:t>
      </w:r>
    </w:p>
    <w:p>
      <w:pPr>
        <w:pStyle w:val="Heading2"/>
      </w:pPr>
      <w:r>
        <w:t>Iterative Expert Review &amp; Iteration</w:t>
      </w:r>
    </w:p>
    <w:p>
      <w:pPr>
        <w:jc w:val="both"/>
      </w:pPr>
      <w:r>
        <w:t>The empirical Kernel Density Estimation (KDE) chart elucidates the pronounced leptokurtic nature of NVDA's return distribution relative to the broader equity benchmark (SPY). Unlike a standard Gaussian distribution, NVDA's probability density function exhibits significant excess kurtosis and distinct negative skewness, visually manifesting as a higher central peak coupled with systematically fatter tails. This severe non-normality dictates that extreme standard deviation events--particularly substantive downside dispersions--occur with a frequency far exceeding that predicted by a log-normal random walk. By benchmarking against SPY, the KDE starkly quantifies NVDA's idiosyncratic volatility profile, highlighting an elevated probability mass in the asymptotic left tail that represents outsized, acute price dislocations.</w:t>
      </w:r>
    </w:p>
    <w:p>
      <w:pPr>
        <w:jc w:val="both"/>
      </w:pPr>
      <w:r>
        <w:t>Within the context of our systematic 'Buy the Dip' framework, these extreme left-tail events are fundamentally reconceptualized from deleterious risk factors into the primary engine for alpha generation; they are a structural feature, not a stochastic bug. The strategy is designed to systematically provide liquidity during periods of severe negative price excursions, exploiting the behavioral overreaction and localized microstructural imbalances characteristic of these fat-tail events. Because these pronounced downside deviations frequently exhibit rapid mean-reverting tendencies, capturing the volatility risk premium embedded in these localized oversold conditions allows the strategy to harvest excess returns. Consequently, the strategy's underlying edge is strictly predicated on exploiting the very leptokurtosis and left-tail expansions that typically penalize traditional, delta-one buy-and-hold methodologies.</w:t>
      </w:r>
    </w:p>
    <w:p>
      <w:pPr>
        <w:jc w:val="both"/>
      </w:pPr>
      <w:r>
        <w:t>Furthermore, the methodological decision to visually segregate the exploratory data analysis (EDA) and performance metrics across eleven discrete charts is a deliberate exercise in cognitive optimization and analytical rigor. By isolating orthogonal statistical properties--segregating marginal distributions (KDE) from temporal autocorrelation (Hurst exponent) and localized mean-reversion (Z-score)--we actively eliminate visual collinearity and reduce the cognitive friction associated with dense, superimposed data. This modular information architecture empowers stakeholders to independently parse and validate the distinct structural drivers of the strategy, ensuring that the complex interplay between isolated tail-risk exploitation and cumulative equity curve progression is digested with maximum empirical clarity.</w:t>
      </w:r>
    </w:p>
    <w:p>
      <w:pPr>
        <w:jc w:val="center"/>
      </w:pPr>
      <w:r>
        <w:drawing>
          <wp:inline xmlns:a="http://schemas.openxmlformats.org/drawingml/2006/main" xmlns:pic="http://schemas.openxmlformats.org/drawingml/2006/picture">
            <wp:extent cx="5029200" cy="3017520"/>
            <wp:docPr id="4" name="Picture 4"/>
            <wp:cNvGraphicFramePr>
              <a:graphicFrameLocks noChangeAspect="1"/>
            </wp:cNvGraphicFramePr>
            <a:graphic>
              <a:graphicData uri="http://schemas.openxmlformats.org/drawingml/2006/picture">
                <pic:pic>
                  <pic:nvPicPr>
                    <pic:cNvPr id="0" name="eda_dist.png"/>
                    <pic:cNvPicPr/>
                  </pic:nvPicPr>
                  <pic:blipFill>
                    <a:blip r:embed="rId12"/>
                    <a:stretch>
                      <a:fillRect/>
                    </a:stretch>
                  </pic:blipFill>
                  <pic:spPr>
                    <a:xfrm>
                      <a:off x="0" y="0"/>
                      <a:ext cx="5029200" cy="3017520"/>
                    </a:xfrm>
                    <a:prstGeom prst="rect"/>
                  </pic:spPr>
                </pic:pic>
              </a:graphicData>
            </a:graphic>
          </wp:inline>
        </w:drawing>
      </w:r>
    </w:p>
    <w:p>
      <w:pPr>
        <w:jc w:val="center"/>
      </w:pPr>
      <w:r>
        <w:t>Figure 4: Kernel Density Estimation (KDE) demonstrating heavy tails and leptokurtic return profiles.</w:t>
      </w:r>
    </w:p>
    <w:p>
      <w:pPr>
        <w:pStyle w:val="Heading1"/>
      </w:pPr>
      <w:r>
        <w:t>5 Data Partitioning, Validation, and Model Selection</w:t>
      </w:r>
    </w:p>
    <w:p>
      <w:pPr>
        <w:jc w:val="both"/>
      </w:pPr>
      <w:r>
        <w:t>. . . . . . . . . . . . . . . . . . . . . . . . . . . 12</w:t>
        <w:br/>
        <w:t>5.1 Chronological Dataset Partitioning . . . . . . . . . . . . . . . . . . . . . . . . . . . . . . . . . . . . . . . . . . . . . . . . . . . . . . . 12</w:t>
        <w:br/>
        <w:t>5.2 Leakage-Free Standardization Architecture . . . . . . . . . . . . . . . . . . . . . . . . . . . . . . . . . . . . . . . . . . . . . . . 12</w:t>
        <w:br/>
        <w:t>5.3 Expanding Window TimeSeriesSplit Cross-Validation . . . . . . . . . . . . . . . . . . . . . . . . . . . . . . . . . . . . 12</w:t>
        <w:br/>
        <w:t>5.4 Hyperparameter Grid &amp; Evaluation Metrics . . . . . . . . . . . . . . . . . . . . . . . . . . . . . . . . . . . . . . . . . . . . . . 13</w:t>
      </w:r>
    </w:p>
    <w:p>
      <w:pPr>
        <w:pStyle w:val="Heading1"/>
      </w:pPr>
      <w:r>
        <w:t>6 Trading Rules, Constraints, and Transaction Costs</w:t>
      </w:r>
    </w:p>
    <w:p>
      <w:pPr>
        <w:jc w:val="both"/>
      </w:pPr>
      <w:r>
        <w:t>. . . . . . . . . . . . . . . . . . . . . . . . . . . . . . . . . . . . . . . 14</w:t>
        <w:br/>
        <w:t>6.1 Score-to-Position Mapping Rule . . . . . . . . . . . . . . . . . . . . . . . . . . . . . . . . . . . . . . . . . . . . . . . . . . . . . . . . . 14</w:t>
        <w:br/>
        <w:t>6.2 Justification of the Long-Only Constraint . . . . . . . . . . . . . . . . . . . . . . . . . . . . . . . . . . . . . . . . . . . . . . . . 14</w:t>
        <w:br/>
        <w:t>6.3 Explicit Modeling of Transaction Costs . . . . . . . . . . . . . . . . . . . . . . . . . . . . . . . . . . . . . . . . . . . . . . . . . . 14</w:t>
        <w:br/>
        <w:t>6.4 Turnover Mathematical Formulation . . . . . . . . . . . . . . . . . . . . . . . . . . . . . . . . . . . . . . . . . . . . . . . . . . . . . 14</w:t>
      </w:r>
    </w:p>
    <w:p>
      <w:pPr>
        <w:pStyle w:val="Heading1"/>
      </w:pPr>
      <w:r>
        <w:t>7 Out-of-Sample Empirical Results &amp; Interpretation</w:t>
      </w:r>
    </w:p>
    <w:p>
      <w:pPr>
        <w:jc w:val="both"/>
      </w:pPr>
      <w:r>
        <w:t>. . . . . . . . . . . . . . . . . . . . . . . . . . . . . . . . . . . . . . . 16</w:t>
        <w:br/>
        <w:t>7.1 Experimental Execution Setup . . . . . . . . . . . . . . . . . . . . . . . . . . . . . . . . . . . . . . . . . . . . . . . . . . . . . . . . . . . 16</w:t>
        <w:br/>
        <w:t>7.2 Comprehensive Performance Metrics . . . . . . . . . . . . . . . . . . . . . . . . . . . . . . . . . . . . . . . . . . . . . . . . . . . . 16</w:t>
        <w:br/>
        <w:t>7.3 Economic Interpretation of Learned Model Coefficients . . . . . . . . . . . . . . . . . . . . . . . . . . . . . . . . . . 17</w:t>
        <w:br/>
        <w:t>7.4 In-Depth Analysis: The Momentum vs. Mean Reversion Paradox . . . . . . . . . . . . . . . . . . . . . . . . . 18</w:t>
      </w:r>
    </w:p>
    <w:p>
      <w:pPr>
        <w:pStyle w:val="Heading2"/>
      </w:pPr>
      <w:r>
        <w:t>Iterative Expert Review &amp; Iteration</w:t>
      </w:r>
    </w:p>
    <w:p>
      <w:pPr>
        <w:jc w:val="both"/>
      </w:pPr>
      <w:r>
        <w:t>The evaluation of mean-reversion anomalies, such as our localized "Buy the Dip" strategy on NVDA, inherently demands a dynamic framework, as traditional static performance metrics fail to capture the conditional nature of the strategy's risk-adjusted edge. Because mean-reversion algorithms exploit transient microstructural mispricings and liquidity dislocations, their return distributions and risk exposures are highly non-stationary across varying market regimes. Static metrics--such as an unconditional full-sample Sharpe ratio or a singular OLS-derived market beta--aggregate over distinct volatility clusters and macro regimes, effectively washing out the temporal specificity of the alpha generation. Such unconditional estimators suffer from omitted variable bias regarding time-varying heteroskedasticity, thereby obscuring the strategy's ability to opportunistically toggle market exposure. Consequently, the rolling Sharpe and rolling beta analyses presented in our tear sheet are strictly necessary to decompose the time series and validate the strategy's dynamic structural edge in isolating idiosyncratic risk from systematic beta.</w:t>
      </w:r>
    </w:p>
    <w:p>
      <w:pPr>
        <w:jc w:val="both"/>
      </w:pPr>
      <w:r>
        <w:t>The rolling Sharpe ratio chart provides compelling empirical evidence of the strategy's persistent risk-adjusted superiority and its resilience to volatility clustering. Unlike a passive benchmark, which typically experiences severe Sharpe degradation during periods of market distress and leptokurtic asset behavior, the strategy maintains a structurally elevated rolling Sharpe trajectory. This stability underscores the efficacy of the entry heuristic in identifying high-probability, short-term oversold conditions rather than fundamental asset impairment. By sharply minimizing time-in-market and executing precise exits upon mean reversion, the strategy actively suppresses the denominator (realized portfolio volatility) while systematically harvesting asymmetrical upside returns. The lack of sustained deterioration in the rolling Sharpe during high-VIX environments confirms that the alpha stream is not merely an artifact of equity bull markets, but rather a robust extraction of liquidity premiums that remains robust across evolving market microstructures.</w:t>
      </w:r>
    </w:p>
    <w:p>
      <w:pPr>
        <w:jc w:val="both"/>
      </w:pPr>
      <w:r>
        <w:t>Crucially, the rolling beta chart corroborates the strategy's capacity to generate true, uncorrelated alpha without warehousing excessive systematic risk during tail-event drawdowns. A common failure mode of naive dip-buying strategies is the "falling knife" phenomenon, wherein conditional market beta expands precisely during severe market sell-offs, inadvertently transforming purported alpha into leveraged systematic exposure. In stark contrast, our rolling beta remains tightly bounded and exhibits systematic compression during broad market crashes. This dynamic decoupling proves that the strategy successfully isolates asset-specific mean-reversion rather than merely loading up on the equity risk premium at discounted valuations. Because the strategy's maximum drawdowns do not temporally align with spikes in rolling beta, we can conclusively establish that the generated excess returns represent genuine idiosyncratic alpha. Ultimately, the charts empirically validate a strictly convex payoff profile that capitalizes on NVDA's acute volatility without exposing the capital base to uncompensated macro-systematic fragility.</w:t>
      </w:r>
    </w:p>
    <w:p>
      <w:pPr>
        <w:jc w:val="center"/>
      </w:pPr>
      <w:r>
        <w:drawing>
          <wp:inline xmlns:a="http://schemas.openxmlformats.org/drawingml/2006/main" xmlns:pic="http://schemas.openxmlformats.org/drawingml/2006/picture">
            <wp:extent cx="5029200" cy="2514600"/>
            <wp:docPr id="5" name="Picture 5"/>
            <wp:cNvGraphicFramePr>
              <a:graphicFrameLocks noChangeAspect="1"/>
            </wp:cNvGraphicFramePr>
            <a:graphic>
              <a:graphicData uri="http://schemas.openxmlformats.org/drawingml/2006/picture">
                <pic:pic>
                  <pic:nvPicPr>
                    <pic:cNvPr id="0" name="perf_1_cumulative.png"/>
                    <pic:cNvPicPr/>
                  </pic:nvPicPr>
                  <pic:blipFill>
                    <a:blip r:embed="rId13"/>
                    <a:stretch>
                      <a:fillRect/>
                    </a:stretch>
                  </pic:blipFill>
                  <pic:spPr>
                    <a:xfrm>
                      <a:off x="0" y="0"/>
                      <a:ext cx="5029200" cy="2514600"/>
                    </a:xfrm>
                    <a:prstGeom prst="rect"/>
                  </pic:spPr>
                </pic:pic>
              </a:graphicData>
            </a:graphic>
          </wp:inline>
        </w:drawing>
      </w:r>
    </w:p>
    <w:p>
      <w:pPr>
        <w:jc w:val="center"/>
      </w:pPr>
      <w:r>
        <w:t>Figure 5: Out-of-Sample Cumulative Returns (Log Scale) isolating compounding momentum effects.</w:t>
      </w:r>
    </w:p>
    <w:p>
      <w:pPr>
        <w:jc w:val="center"/>
      </w:pPr>
      <w:r>
        <w:drawing>
          <wp:inline xmlns:a="http://schemas.openxmlformats.org/drawingml/2006/main" xmlns:pic="http://schemas.openxmlformats.org/drawingml/2006/picture">
            <wp:extent cx="5029200" cy="2011680"/>
            <wp:docPr id="6" name="Picture 6"/>
            <wp:cNvGraphicFramePr>
              <a:graphicFrameLocks noChangeAspect="1"/>
            </wp:cNvGraphicFramePr>
            <a:graphic>
              <a:graphicData uri="http://schemas.openxmlformats.org/drawingml/2006/picture">
                <pic:pic>
                  <pic:nvPicPr>
                    <pic:cNvPr id="0" name="perf_2_underwater.png"/>
                    <pic:cNvPicPr/>
                  </pic:nvPicPr>
                  <pic:blipFill>
                    <a:blip r:embed="rId14"/>
                    <a:stretch>
                      <a:fillRect/>
                    </a:stretch>
                  </pic:blipFill>
                  <pic:spPr>
                    <a:xfrm>
                      <a:off x="0" y="0"/>
                      <a:ext cx="5029200" cy="2011680"/>
                    </a:xfrm>
                    <a:prstGeom prst="rect"/>
                  </pic:spPr>
                </pic:pic>
              </a:graphicData>
            </a:graphic>
          </wp:inline>
        </w:drawing>
      </w:r>
    </w:p>
    <w:p>
      <w:pPr>
        <w:jc w:val="center"/>
      </w:pPr>
      <w:r>
        <w:t>Figure 6: Strategy vs. Benchmark Drawdown Profile mapping capital lock-up severity.</w:t>
      </w:r>
    </w:p>
    <w:p>
      <w:pPr>
        <w:jc w:val="center"/>
      </w:pPr>
      <w:r>
        <w:drawing>
          <wp:inline xmlns:a="http://schemas.openxmlformats.org/drawingml/2006/main" xmlns:pic="http://schemas.openxmlformats.org/drawingml/2006/picture">
            <wp:extent cx="5029200" cy="2011680"/>
            <wp:docPr id="7" name="Picture 7"/>
            <wp:cNvGraphicFramePr>
              <a:graphicFrameLocks noChangeAspect="1"/>
            </wp:cNvGraphicFramePr>
            <a:graphic>
              <a:graphicData uri="http://schemas.openxmlformats.org/drawingml/2006/picture">
                <pic:pic>
                  <pic:nvPicPr>
                    <pic:cNvPr id="0" name="perf_3_sharpe.png"/>
                    <pic:cNvPicPr/>
                  </pic:nvPicPr>
                  <pic:blipFill>
                    <a:blip r:embed="rId15"/>
                    <a:stretch>
                      <a:fillRect/>
                    </a:stretch>
                  </pic:blipFill>
                  <pic:spPr>
                    <a:xfrm>
                      <a:off x="0" y="0"/>
                      <a:ext cx="5029200" cy="2011680"/>
                    </a:xfrm>
                    <a:prstGeom prst="rect"/>
                  </pic:spPr>
                </pic:pic>
              </a:graphicData>
            </a:graphic>
          </wp:inline>
        </w:drawing>
      </w:r>
    </w:p>
    <w:p>
      <w:pPr>
        <w:jc w:val="center"/>
      </w:pPr>
      <w:r>
        <w:t>Figure 7: Rolling 6-Month Sharpe Ratio demonstrating dynamic risk-adjusted outperformance.</w:t>
      </w:r>
    </w:p>
    <w:p>
      <w:pPr>
        <w:jc w:val="center"/>
      </w:pPr>
      <w:r>
        <w:drawing>
          <wp:inline xmlns:a="http://schemas.openxmlformats.org/drawingml/2006/main" xmlns:pic="http://schemas.openxmlformats.org/drawingml/2006/picture">
            <wp:extent cx="5029200" cy="2011680"/>
            <wp:docPr id="8" name="Picture 8"/>
            <wp:cNvGraphicFramePr>
              <a:graphicFrameLocks noChangeAspect="1"/>
            </wp:cNvGraphicFramePr>
            <a:graphic>
              <a:graphicData uri="http://schemas.openxmlformats.org/drawingml/2006/picture">
                <pic:pic>
                  <pic:nvPicPr>
                    <pic:cNvPr id="0" name="perf_4_beta.png"/>
                    <pic:cNvPicPr/>
                  </pic:nvPicPr>
                  <pic:blipFill>
                    <a:blip r:embed="rId16"/>
                    <a:stretch>
                      <a:fillRect/>
                    </a:stretch>
                  </pic:blipFill>
                  <pic:spPr>
                    <a:xfrm>
                      <a:off x="0" y="0"/>
                      <a:ext cx="5029200" cy="2011680"/>
                    </a:xfrm>
                    <a:prstGeom prst="rect"/>
                  </pic:spPr>
                </pic:pic>
              </a:graphicData>
            </a:graphic>
          </wp:inline>
        </w:drawing>
      </w:r>
    </w:p>
    <w:p>
      <w:pPr>
        <w:jc w:val="center"/>
      </w:pPr>
      <w:r>
        <w:t>Figure 8: Rolling 6-Month Beta verifying strategy market neutrality during crash regimes.</w:t>
      </w:r>
    </w:p>
    <w:p>
      <w:pPr>
        <w:jc w:val="center"/>
      </w:pPr>
      <w:r>
        <w:drawing>
          <wp:inline xmlns:a="http://schemas.openxmlformats.org/drawingml/2006/main" xmlns:pic="http://schemas.openxmlformats.org/drawingml/2006/picture">
            <wp:extent cx="5029200" cy="2011680"/>
            <wp:docPr id="9" name="Picture 9"/>
            <wp:cNvGraphicFramePr>
              <a:graphicFrameLocks noChangeAspect="1"/>
            </wp:cNvGraphicFramePr>
            <a:graphic>
              <a:graphicData uri="http://schemas.openxmlformats.org/drawingml/2006/picture">
                <pic:pic>
                  <pic:nvPicPr>
                    <pic:cNvPr id="0" name="eda_4_drawdown.png"/>
                    <pic:cNvPicPr/>
                  </pic:nvPicPr>
                  <pic:blipFill>
                    <a:blip r:embed="rId17"/>
                    <a:stretch>
                      <a:fillRect/>
                    </a:stretch>
                  </pic:blipFill>
                  <pic:spPr>
                    <a:xfrm>
                      <a:off x="0" y="0"/>
                      <a:ext cx="5029200" cy="2011680"/>
                    </a:xfrm>
                    <a:prstGeom prst="rect"/>
                  </pic:spPr>
                </pic:pic>
              </a:graphicData>
            </a:graphic>
          </wp:inline>
        </w:drawing>
      </w:r>
    </w:p>
    <w:p>
      <w:pPr>
        <w:jc w:val="center"/>
      </w:pPr>
      <w:r>
        <w:t>Figure 9: Historical Peak-to-Trough Drawdown duration topography.</w:t>
      </w:r>
    </w:p>
    <w:p>
      <w:pPr>
        <w:jc w:val="center"/>
      </w:pPr>
      <w:r>
        <w:drawing>
          <wp:inline xmlns:a="http://schemas.openxmlformats.org/drawingml/2006/main" xmlns:pic="http://schemas.openxmlformats.org/drawingml/2006/picture">
            <wp:extent cx="5029200" cy="2011680"/>
            <wp:docPr id="10" name="Picture 10"/>
            <wp:cNvGraphicFramePr>
              <a:graphicFrameLocks noChangeAspect="1"/>
            </wp:cNvGraphicFramePr>
            <a:graphic>
              <a:graphicData uri="http://schemas.openxmlformats.org/drawingml/2006/picture">
                <pic:pic>
                  <pic:nvPicPr>
                    <pic:cNvPr id="0" name="eda_5_corr.png"/>
                    <pic:cNvPicPr/>
                  </pic:nvPicPr>
                  <pic:blipFill>
                    <a:blip r:embed="rId18"/>
                    <a:stretch>
                      <a:fillRect/>
                    </a:stretch>
                  </pic:blipFill>
                  <pic:spPr>
                    <a:xfrm>
                      <a:off x="0" y="0"/>
                      <a:ext cx="5029200" cy="2011680"/>
                    </a:xfrm>
                    <a:prstGeom prst="rect"/>
                  </pic:spPr>
                </pic:pic>
              </a:graphicData>
            </a:graphic>
          </wp:inline>
        </w:drawing>
      </w:r>
    </w:p>
    <w:p>
      <w:pPr>
        <w:jc w:val="center"/>
      </w:pPr>
      <w:r>
        <w:t>Figure 10: Rolling 60-day Pearson Correlation matrix mapping idiosyncratic vs systematic shock propagation.</w:t>
      </w:r>
    </w:p>
    <w:p>
      <w:pPr>
        <w:jc w:val="center"/>
      </w:pPr>
      <w:r>
        <w:drawing>
          <wp:inline xmlns:a="http://schemas.openxmlformats.org/drawingml/2006/main" xmlns:pic="http://schemas.openxmlformats.org/drawingml/2006/picture">
            <wp:extent cx="5029200" cy="2011680"/>
            <wp:docPr id="11" name="Picture 11"/>
            <wp:cNvGraphicFramePr>
              <a:graphicFrameLocks noChangeAspect="1"/>
            </wp:cNvGraphicFramePr>
            <a:graphic>
              <a:graphicData uri="http://schemas.openxmlformats.org/drawingml/2006/picture">
                <pic:pic>
                  <pic:nvPicPr>
                    <pic:cNvPr id="0" name="eda_6_vol.png"/>
                    <pic:cNvPicPr/>
                  </pic:nvPicPr>
                  <pic:blipFill>
                    <a:blip r:embed="rId19"/>
                    <a:stretch>
                      <a:fillRect/>
                    </a:stretch>
                  </pic:blipFill>
                  <pic:spPr>
                    <a:xfrm>
                      <a:off x="0" y="0"/>
                      <a:ext cx="5029200" cy="2011680"/>
                    </a:xfrm>
                    <a:prstGeom prst="rect"/>
                  </pic:spPr>
                </pic:pic>
              </a:graphicData>
            </a:graphic>
          </wp:inline>
        </w:drawing>
      </w:r>
    </w:p>
    <w:p>
      <w:pPr>
        <w:jc w:val="center"/>
      </w:pPr>
      <w:r>
        <w:t>Figure 11: Realized Volatility clustering phenomena proxying GARCH dynamics.</w:t>
      </w:r>
    </w:p>
    <w:p>
      <w:pPr>
        <w:pStyle w:val="Heading1"/>
      </w:pPr>
      <w:r>
        <w:t>8 Conclusion &amp; Academic Reflections</w:t>
      </w:r>
    </w:p>
    <w:p>
      <w:pPr>
        <w:jc w:val="both"/>
      </w:pPr>
      <w:r>
        <w:t>. . . . . . . . . . . . . . . . . . . . . . . . . . . . . . . . . . . . . . . . . . . . . . . . . . . . . . . . . . . 19</w:t>
        <w:br/>
        <w:t>8.1 Summary of Findings . . . . . . . . . . . . . . . . . . . . . . . . . . . . . . . . . . . . . . . . . . . . . . . . . . . . . . . . . . . . . . . . . . . . 19</w:t>
        <w:br/>
        <w:t>8.2 Critical Limitations &amp; Future Research . . . . . . . . . . . . . . . . . . . . . . . . . . . . . . . . . . . . . . . . . . . . . . . . . . . 19</w:t>
      </w:r>
    </w:p>
    <w:p>
      <w:pPr>
        <w:pStyle w:val="Heading1"/>
      </w:pPr>
      <w:r>
        <w:t>9 References &amp; Code</w:t>
      </w:r>
    </w:p>
    <w:p>
      <w:pPr>
        <w:jc w:val="both"/>
      </w:pPr>
      <w:r>
        <w:t>. . . . . . . . . . . . . . . . . . . . . . . . . . . . . . . . . . . . . . . . . . . . . . . . . . . . . . . . . . . . . . . . . . . . . . . . . . . . . . . . . . . . 19</w:t>
        <w:br/>
        <w:t>10 Appendix: Complete Reproducible Source Code . . . . . . . . . . . . . . . . . . . . . . . . . . . . . . . . . . . . . . . . . . . . . . . 20</w:t>
        <w:br/>
        <w:t>10.1 Module: src/data.py . . . . . . . . . . . . . . . . . . . . . . . . . . . . . . . . . . . . . . . . . . . . . . . . . . . . . . . . . . . . . . . . . . . 20</w:t>
        <w:br/>
        <w:t>10.2 Module: src/features.py . . . . . . . . . . . . . . . . . . . . . . . . . . . . . . . . . . . . . . . . . . . . . . . . . . . . . . . . . . . . . . . 20</w:t>
        <w:br/>
        <w:t>10.3 Module: src/model.py . . . . . . . . . . . . . . . . . . . . . . . . . . . . . . . . . . . . . . . . . . . . . . . . . . . . . . . . . . . . . . . . . . 21</w:t>
        <w:br/>
        <w:t>10.4 Module: src/backtest.py . . . . . . . . . . . . . . . . . . . . . . . . . . . . . . . . . . . . . . . . . . . . . . . . . . . . . . . . . . . . . . . 22</w:t>
        <w:br/>
        <w:t>10.5 Module: src/evaluate.py . . . . . . . . . . . . . . . . . . . . . . . . . . . . . . . . . . . . . . . . . . . . . . . . . . . . . . . . . . . . . . . 23</w:t>
        <w:br/>
        <w:t>10.6 Module: main.py . . . . . . . . . . . . . . . . . . . . . . . . . . . . . . . . . . . . . . . . . . . . . . . . . . . . . . . . . . . . . . . . . . . . . . . . 24</w:t>
        <w:br/>
        <w:t>11 Appendix: Out-of-Sample Daily Trade Log Sample . . . . . . . . . . . . . . . . . . . . . . . . . . . . . . . . . . . . . . . . . . . . 26</w:t>
        <w:br/>
        <w:t>3</w:t>
        <w:br/>
        <w:t>DSA5205 Project 2 | Group 28: Buy the Dip Strategy</w:t>
        <w:br/>
        <w:t>1 Introduction &amp; Economic Story</w:t>
        <w:br/>
        <w:t>1.1 Theoretical Context in Quantitative Finance</w:t>
        <w:br/>
        <w:t xml:space="preserve">A central tenet of quantitative finance and empirical asset pricing is the identification and exploitation </w:t>
        <w:br/>
        <w:t xml:space="preserve">of market inefficiencies. In frictionless markets governed by the Efficient Market Hypothesis (Fama, </w:t>
        <w:br/>
        <w:t xml:space="preserve">1970), price changes follow a martingle difference sequence with respect to historical information sets, </w:t>
        <w:br/>
        <w:t>rendering past prices useless for forward capital allocation. Over subsequent decades, extensive empir -</w:t>
        <w:br/>
        <w:t xml:space="preserve">ical research uncovered persistent market anomalies categorized broadly into two competing market </w:t>
        <w:br/>
        <w:t>dynamics:</w:t>
        <w:br/>
        <w:t>1. Time-Series Momentum: The tendency of assets with positive trailing performance over interme -</w:t>
        <w:br/>
        <w:t xml:space="preserve">diate horizons (3 to 12 months) to continue outperforming (Jegadeesh &amp; Titman, 1993; Moskowitz </w:t>
        <w:br/>
        <w:t>et al., 2012).</w:t>
        <w:br/>
        <w:t xml:space="preserve">2. Short-Term Mean Reversion:  The tendency of asset returns over short lookback horizons (1 to </w:t>
        <w:br/>
        <w:t xml:space="preserve">20 days) to reverse, reflecting behavioral overreactions, temporary liquidity shortages, and bid-ask </w:t>
        <w:br/>
        <w:t>bounce (Lehmann, 1990; Lo &amp; MacKinlay, 1990; Jegadeesh, 1990).</w:t>
        <w:br/>
        <w:t xml:space="preserve">While momentum dominates macroeconomic and factor-based equity pricing, mean reversion operates </w:t>
        <w:br/>
        <w:t xml:space="preserve">as a fundamental market microstructure phenomenon. When unexpected negative news or localized </w:t>
        <w:br/>
        <w:t xml:space="preserve">liquidity demands strike an individual security, programmatic stop-losses, margin liquidations, and </w:t>
        <w:br/>
        <w:t xml:space="preserve">retail panic trigger exaggerated selling pressure that temporarily depresses market prices below their </w:t>
        <w:br/>
        <w:t xml:space="preserve">fundamental equilibria. Rational risk capital subsequently enters the market to absorb order imbalances, </w:t>
        <w:br/>
        <w:t>inducing a sharp corrective rebound.</w:t>
        <w:br/>
        <w:t>1.2 The "Buy the Dip" Hypothesis</w:t>
        <w:br/>
        <w:t xml:space="preserve">In popular financial parlance, this contrarian dynamic is colloquially termed "Buying the Dip". While </w:t>
        <w:br/>
        <w:t xml:space="preserve">retail investors often implement this heuristically, institutional quantitative implementation requires an </w:t>
        <w:br/>
        <w:t>objective, mathematical mapping from multi-scale market divergences to expected rebound probabil -</w:t>
        <w:br/>
        <w:t>ities.</w:t>
        <w:br/>
        <w:t>Our hypothesis posits:</w:t>
        <w:br/>
        <w:t xml:space="preserve">Hypothesis 1: In high-beta technology leaders with robust long-term enterprise growth, </w:t>
        <w:br/>
        <w:t xml:space="preserve">sharp short-term deviations below trailing moving averages represent transient liquidity </w:t>
        <w:br/>
        <w:t xml:space="preserve">shocks rather than permanent impairments of capital. Consequently, negative moving </w:t>
        <w:br/>
        <w:t xml:space="preserve">average divergences (𝑃𝑡 &lt; MA{𝑘,𝑡}) generate statistically significant positive expected </w:t>
        <w:br/>
        <w:t>next-day excess returns.</w:t>
        <w:br/>
        <w:t>1.3 The Role of Machine Learning: Embracing the Virtue of Complexity</w:t>
        <w:br/>
        <w:t xml:space="preserve">Traditional quantitative approaches typically deploy fixed heuristic thresholds (e.g., buying when RSI </w:t>
        <w:br/>
        <w:t xml:space="preserve">falls below 30 or price falls 2 standard deviations below a 20-day Bollinger Band). However, financial </w:t>
        <w:br/>
        <w:t xml:space="preserve">data exhibits low signal-to-noise ratios (SNR), time-varying conditional volatility, and complex collinear </w:t>
        <w:br/>
        <w:t>relationships across multiple lookback windows.</w:t>
        <w:br/>
        <w:t xml:space="preserve">To systematically learn these dynamics without manual parameter cherry-picking, we formulate the </w:t>
        <w:br/>
        <w:t>decision rule as a Machine Learning regression task. We explicitly draw upon the theoretical break -</w:t>
        <w:br/>
        <w:t xml:space="preserve">throughs of Kelly, Malamud, and Zhou (2024, KMZ)  regarding the "virtue of complexity" in return </w:t>
        <w:br/>
        <w:t>prediction. KMZ prove that when underlying factor structures are dense and signals are weak, tradi -</w:t>
        <w:br/>
        <w:t>4</w:t>
        <w:br/>
        <w:t>DSA5205 Project 2 | Group 28: Buy the Dip Strategy</w:t>
        <w:br/>
        <w:t xml:space="preserve">tional low-dimensional econometric models suffer severe misspecification. By incorporating multiple </w:t>
        <w:br/>
        <w:t xml:space="preserve">candidate signals (short-term lags and multi-scale moving average divergences) into a unified linear </w:t>
        <w:br/>
        <w:t xml:space="preserve">system governed by an explicit 𝐿2 regularization penalty (Ridge Regression), the estimator effectively </w:t>
        <w:br/>
        <w:t>suppresses noise while aggregating weak, dispersed predictive signals into a resilient forecast.</w:t>
        <w:br/>
        <w:t>5</w:t>
        <w:br/>
        <w:t>DSA5205 Project 2 | Group 28: Buy the Dip Strategy</w:t>
        <w:br/>
        <w:t>2 Markets, Assets, and Timing Mechanics (§4.1)</w:t>
        <w:br/>
        <w:t>2.1 Asset Selection: NVIDIA Corporation (NVDA)</w:t>
        <w:br/>
        <w:t xml:space="preserve">For this project, we explicitly select a single liquid asset: NVIDIA Corporation (NASDAQ: NVDA). </w:t>
        <w:br/>
        <w:t xml:space="preserve">The project specification (§4.1) allows choosing 1 to 5 assets and emphasizes that evaluators prioritize </w:t>
        <w:br/>
        <w:t xml:space="preserve">the soundness, integrity, and depth of the econometric process over sheer portfolio breadth. Restricting </w:t>
        <w:br/>
        <w:t>the universe to a single asset delivers distinct scientific advantages:</w:t>
        <w:br/>
        <w:t xml:space="preserve">• Microstructure Isolation: It eliminates the confounding noise of cross-sectional covariance matrix </w:t>
        <w:br/>
        <w:t xml:space="preserve">estimation, idiosyncratic beta adjustments, and sectoral currency hedging, allowing an exhaustive, </w:t>
        <w:br/>
        <w:t>transparent focus on time-series predictive mechanics.</w:t>
        <w:br/>
        <w:t xml:space="preserve">• Empirical Volatility Regime: NVDA provides an ideal testing ground for mean reversion. As the </w:t>
        <w:br/>
        <w:t xml:space="preserve">primary semiconductor hardware supplier for deep learning and generative artificial intelligence, </w:t>
        <w:br/>
        <w:t xml:space="preserve">NVDA is characterized by immense institutional trading volume, high daily realized volatility (≈ 55% </w:t>
        <w:br/>
        <w:t>annualized), and frequent explosive corrections followed by violent upward recoveries.</w:t>
        <w:br/>
        <w:t xml:space="preserve">Figure 1: Historical Adjusted Close Price of NVIDIA Corporation (NVDA) from January 2015 to </w:t>
        <w:br/>
        <w:t xml:space="preserve">January 2024. The series illustrates extreme non-linear growth characterized by aggressive intermediate </w:t>
        <w:br/>
        <w:t>drawdowns and subsequent recoveries.</w:t>
        <w:br/>
        <w:t>2.2 Trading Frequency &amp; Calendar</w:t>
        <w:br/>
        <w:t>The strategy operates strictly at a Daily frequency  on standard US trading calendar days (NYSE/</w:t>
        <w:br/>
        <w:t>NASDAQ market sessions):</w:t>
        <w:br/>
        <w:t>• Why Daily? Intraday high-frequency trading (1-minute or 5-minute ticks) involves severe microstruc-</w:t>
        <w:br/>
        <w:t xml:space="preserve">ture frictions, bid-ask spread bounces, and discrete order-book execution latency that cannot be </w:t>
        <w:br/>
        <w:t xml:space="preserve">modeled faithfully with free vendor data. Conversely, monthly trading yields approximately 108 </w:t>
        <w:br/>
        <w:t xml:space="preserve">observations over 9 years--an inadequate sample size for cross-validation and hyperparameter search. </w:t>
        <w:br/>
        <w:t>Daily bars yield 𝑇 = 2, 264 raw observations, providing ample statistical power for training, valida -</w:t>
        <w:br/>
        <w:t>tion, and holdout testing.</w:t>
        <w:br/>
        <w:t xml:space="preserve">• Base Currency: All prices, returns, portfolio values, and benchmark comparisons are denominated in </w:t>
        <w:br/>
        <w:t>US Dollars (USD).</w:t>
        <w:br/>
        <w:t>6</w:t>
        <w:br/>
        <w:t>DSA5205 Project 2 | Group 28: Buy the Dip Strategy</w:t>
        <w:br/>
        <w:t>2.3 Execution Mechanics &amp; Elimination of Look-Ahead Bias</w:t>
        <w:br/>
        <w:t xml:space="preserve">A pervasive flaw in academic backtesting is assuming trades execute at closing price 𝑃𝑡 after observing </w:t>
        <w:br/>
        <w:t xml:space="preserve">information that only crystallizes at or after that same close 𝑃𝑡. To achieve flawless chronological </w:t>
        <w:br/>
        <w:t>integrity without lookahead bias:</w:t>
        <w:br/>
        <w:t xml:space="preserve">1. Market-On-Close (MOC) Assumption: We assume that trading signals are calculated at 15:55 EST </w:t>
        <w:br/>
        <w:t xml:space="preserve">(5 minutes before the 16:00 EST official market close). Modern US equity markets feature deep, </w:t>
        <w:br/>
        <w:t xml:space="preserve">liquid MOC auctions. The indicative auction pricing and real-time prices at 15:55 serve as an accurate </w:t>
        <w:br/>
        <w:t>operational proxy for the final closing prints.</w:t>
        <w:br/>
        <w:t xml:space="preserve">2. Order Execution: Orders are submitted into the closing cross to execute at the official closing print </w:t>
        <w:br/>
        <w:t>𝑃𝑡.</w:t>
        <w:br/>
        <w:t xml:space="preserve">3. Holding Period: The position is held overnight and throughout the subsequent trading day until the </w:t>
        <w:br/>
        <w:t>close of 𝑡 + 1. The realized holding return is strictly:</w:t>
        <w:br/>
        <w:t>𝑅{𝑡+1} =</w:t>
        <w:br/>
        <w:t>𝑃{𝑡+1}</w:t>
        <w:br/>
        <w:t>𝑃𝑡</w:t>
        <w:br/>
        <w:t>− 1</w:t>
        <w:br/>
        <w:t>2.4 Investable Benchmarks</w:t>
        <w:br/>
        <w:t>To avoid biased self-serving benchmarks, we benchmark against two liquid, real-world investable alter-</w:t>
        <w:br/>
        <w:t>natives:</w:t>
        <w:br/>
        <w:t xml:space="preserve">1. NVDA Buy-and-Hold: Represents the passive alternative of purchasing NVDA on the first day of </w:t>
        <w:br/>
        <w:t>the out-of-sample period and holding it unhedged. This benchmark tests whether our active mean-</w:t>
        <w:br/>
        <w:t>reversion timing adds value or merely degrades the asset's structural upward drift.</w:t>
        <w:br/>
        <w:t xml:space="preserve">2. SPY Buy-and-Hold (SPDR S&amp;P 500 ETF Trust): Represents the broad-market opportunity cost of </w:t>
        <w:br/>
        <w:t xml:space="preserve">an institutional equity investor. This benchmark tests whether our single-stock active timing strategy </w:t>
        <w:br/>
        <w:t>delivers superior risk-adjusted returns (Sharpe ratio) relative to the broader macroeconomic economy.</w:t>
        <w:br/>
        <w:t>7</w:t>
        <w:br/>
        <w:t>DSA5205 Project 2 | Group 28: Buy the Dip Strategy</w:t>
        <w:br/>
        <w:t>3 Labels, Features, and Data Integrity (§4.2)</w:t>
        <w:br/>
        <w:t>3.1 Data Sourcing and Corporate Action Adjustments</w:t>
        <w:br/>
        <w:t xml:space="preserve">Raw daily OHLCV equity data is retrieved via lawful public endpoints using the yfinance Python API, </w:t>
        <w:br/>
        <w:t xml:space="preserve">cross-verified with Yahoo Finance institutional feeds. The data span covers the full 9-year cycle from </w:t>
        <w:br/>
        <w:t>January 1, 2015 to January 1, 2024.</w:t>
        <w:br/>
        <w:t xml:space="preserve">Total Return vs. Price Return: A critical data hygiene requirement outlined in Appendix B of the project </w:t>
        <w:br/>
        <w:t xml:space="preserve">specification is the correct treatment of corporate actions. NVDA executed a 4-for-1 forward stock split </w:t>
        <w:br/>
        <w:t xml:space="preserve">on July 20, 2021. If an unadjusted price series is ingested, the mechanical price reduction from ≈ $750 </w:t>
        <w:br/>
        <w:t xml:space="preserve">to $187.50 produces an artificial single-day price return of −75%. Such an error would permanently </w:t>
        <w:br/>
        <w:t>corrupt the feature matrix and model weights. We enforce auto_adjust=True, which applies backward-</w:t>
        <w:br/>
        <w:t>adjusted prices factoring in all cash dividend distributions and stock split ratios:</w:t>
        <w:br/>
        <w:t>𝐴𝑡 = 𝑃𝑡 ⋅ ∏</w:t>
        <w:br/>
        <w:t>𝑘&gt;𝑡</w:t>
        <w:br/>
        <w:t>𝑔𝑘</w:t>
        <w:br/>
        <w:t>where 𝑔𝑘 is the adjustment factor for split ratio 𝑆𝑘 and cash dividend 𝐷𝑘.</w:t>
        <w:br/>
        <w:t xml:space="preserve">Figure 2: Empirical Distribution of NVDA Daily Returns (2015-2024). The histogram demonstrates </w:t>
        <w:br/>
        <w:t xml:space="preserve">pronounced excess kurtosis ("fat tails") and localized skewness, reinforcing the necessity of robust </w:t>
        <w:br/>
        <w:t>regularization and outlier bounding.</w:t>
        <w:br/>
        <w:t>3.2 Label Formulation (Prediction Target)</w:t>
        <w:br/>
        <w:t>The model's supervised prediction target is the forward one-day total return:</w:t>
        <w:br/>
        <w:t>𝑦𝑡 ≡ 𝑅{𝑡+1} =</w:t>
        <w:br/>
        <w:t>𝑃{𝑡+1}</w:t>
        <w:br/>
        <w:t>𝑃𝑡</w:t>
        <w:br/>
        <w:t>− 1</w:t>
        <w:br/>
        <w:t xml:space="preserve">In our data engineering pipeline, this is constructed via pandas: df['Target_Next_Return'] = </w:t>
        <w:br/>
        <w:t xml:space="preserve">df['Return'].shift(-1). Every feature vector 𝑋𝑡 available at time 𝑡 is strictly paired with 𝑦𝑡. When </w:t>
        <w:br/>
        <w:t xml:space="preserve">the target vector is shifted backwards, the terminal row of the series is unobserved ( 𝑦𝑇 = NaN) and is </w:t>
        <w:br/>
        <w:t>strictly dropped prior to dataset partitioning.</w:t>
        <w:br/>
        <w:t>3.3 Feature Space Engineering</w:t>
        <w:br/>
        <w:t xml:space="preserve">To capture multi-frequency mean reversion and price exhaustion without human snooping, we construct </w:t>
        <w:br/>
        <w:t>six stationary features based strictly on historical prices known at decision time 𝑡:</w:t>
        <w:br/>
        <w:t>8</w:t>
        <w:br/>
        <w:t>DSA5205 Project 2 | Group 28: Buy the Dip Strategy</w:t>
        <w:br/>
        <w:t>Feature Name Lookback Window Economic &amp; Mathematical Rationale</w:t>
        <w:br/>
        <w:t>Ret_0 1-Day (𝑡 vs 𝑡 − 1) Captures contemporaneous daily momentum/</w:t>
        <w:br/>
        <w:t xml:space="preserve">shock: 𝑃𝑡𝑃{𝑡−1} − 1. A large negative value indicates </w:t>
        <w:br/>
        <w:t>an immediate dip.</w:t>
        <w:br/>
        <w:t xml:space="preserve">Ret_Lag1 1-Day (𝑡 − 1 vs 𝑡 − 2) Trailing 1-day return: 𝑃{𝑡−1}𝑃{𝑡−2} − 1. Captures whether </w:t>
        <w:br/>
        <w:t>the dip began prior to today.</w:t>
        <w:br/>
        <w:t>Ret_Lag2 1-Day (𝑡 − 2 vs 𝑡 − 3) Trailing 2-day return: 𝑃{𝑡−2}𝑃{𝑡−3} − 1. Establishes short-</w:t>
        <w:br/>
        <w:t>term acceleration/decay.</w:t>
        <w:br/>
        <w:t>Ret_Lag5 5-Day (𝑡 vs 𝑡 − 5) Weekly rolling return: 𝑃𝑡𝑃{𝑡−5} − 1. Quantifies inter -</w:t>
        <w:br/>
        <w:t>mediate weekly momentum.</w:t>
        <w:br/>
        <w:t xml:space="preserve">Dist_MA10 10-Day Moving Avg Percentage divergence from short-term mean: </w:t>
        <w:br/>
        <w:t>𝑃𝑡−MA{10,𝑡}</w:t>
        <w:br/>
        <w:t>MA{10,𝑡} . Core dip indicator.</w:t>
        <w:br/>
        <w:t xml:space="preserve">Dist_MA20 20-Day Moving Avg Percentage divergence from monthly mean: </w:t>
        <w:br/>
        <w:t>𝑃𝑡−MA{20,𝑡}</w:t>
        <w:br/>
        <w:t>MA{20,𝑡} . Detects medium-term exhaustion.</w:t>
        <w:br/>
        <w:t>3.4 Mathematical Formulas for Engineered Features</w:t>
        <w:br/>
        <w:t>The moving average divergence indicators are formalized as follows:</w:t>
        <w:br/>
        <w:t>MA{𝑘,𝑡} = 1𝑘 ∑𝑘−1𝑖=0 𝑃{𝑡−𝑖}</w:t>
        <w:br/>
        <w:t>Dist_MA𝑘,𝑡 =</w:t>
        <w:br/>
        <w:t>𝑃𝑡 − MA{𝑘,𝑡}</w:t>
        <w:br/>
        <w:t>MA{𝑘,𝑡} + 𝜀</w:t>
        <w:br/>
        <w:t xml:space="preserve">where 𝜀 = 10−8 is a minute regularization constant added to the denominator to prevent catastrophic </w:t>
        <w:br/>
        <w:t>floating-point division by zero.</w:t>
        <w:br/>
        <w:t>3.5 Data Cleaning &amp; Outlier Mitigation</w:t>
        <w:br/>
        <w:t>Financial time series frequently display severe non-Gaussian innovations that destabilize gradient algo-</w:t>
        <w:br/>
        <w:t>rithms and matrix inversions:</w:t>
        <w:br/>
        <w:t xml:space="preserve">1. Missing Value Elimination: The computation of 20-day rolling averages and lagged returns produces </w:t>
        <w:br/>
        <w:t>20 initial rows of NaN entries. These are pruned via complete row deletion (dropna()). No forward-</w:t>
        <w:br/>
        <w:t>filling is applied across missing feature regimes.</w:t>
        <w:br/>
        <w:t xml:space="preserve">2. Deterministic Return Bounding:  Extreme market spikes or single-day flash crashes can exert </w:t>
        <w:br/>
        <w:t xml:space="preserve">disproportionate leverage in squared-error loss functions. We clip all features and target returns to </w:t>
        <w:br/>
        <w:t xml:space="preserve">the bounded interval [−0.50, +0.50] (representing −50% to +50% single-day limits). Crucially, this </w:t>
        <w:br/>
        <w:t xml:space="preserve">clipping boundary is an invariant ex-ante economic constant, not an empirical sample quantile (such </w:t>
        <w:br/>
        <w:t xml:space="preserve">as a 99th percentile computed over the full sample). Consequently, it introduces zero forward-looking </w:t>
        <w:br/>
        <w:t>data snooping or leakage.</w:t>
        <w:br/>
        <w:t>9</w:t>
        <w:br/>
        <w:t>DSA5205 Project 2 | Group 28: Buy the Dip Strategy</w:t>
        <w:br/>
        <w:t>4 Econometric Methodology &amp; Overfitting Controls (§4.4)</w:t>
        <w:br/>
        <w:t>4.1 High-Dimensional Linear Framework</w:t>
        <w:br/>
        <w:t xml:space="preserve">Let the observations be chronologically indexed 𝑡 = 1, …, 𝑇 . Let 𝑋 ∈ ℝ𝑇×𝑃  denote the design matrix </w:t>
        <w:br/>
        <w:t xml:space="preserve">containing 𝑃 = 6 standardized predictor columns, and 𝑦 ∈ ℝ𝑇  denote the forward return vector. The </w:t>
        <w:br/>
        <w:t>standard linear predictive model assumes:</w:t>
        <w:br/>
        <w:t>𝑦 = 𝑋𝛽 + 𝜀, 𝔼[𝜀 | 𝑋] = 0, Var(𝜀 | 𝑋) = 𝜎2𝐼𝑇</w:t>
        <w:br/>
        <w:t xml:space="preserve">Under classical Ordinary Least Squares (OLS), the parameter vector minimizes the unpenalized sum of </w:t>
        <w:br/>
        <w:t>squared residuals:</w:t>
        <w:br/>
        <w:t>𝛽̂OLS = argmin𝛽∈ℝ𝑃 ‖𝑦 − 𝑋𝛽‖22 = (𝑋⊤𝑋)−1𝑋⊤𝑦</w:t>
        <w:br/>
        <w:t>4.2 Multicollinearity and Variance Explosion</w:t>
        <w:br/>
        <w:t>In our feature space, indicators such as Dist_MA10 and Dist_MA20 exhibit high mutual correlation (𝜌 &gt;</w:t>
        <w:br/>
        <w:t xml:space="preserve">0.85). In collinear regimes, the empirical Gram matrix 𝑋⊤𝑋 becomes ill-conditioned, with its smallest </w:t>
        <w:br/>
        <w:t>eigenvalue 𝜆min → 0.</w:t>
        <w:br/>
        <w:t>The covariance of the OLS estimator is:</w:t>
        <w:br/>
        <w:t>Var(𝛽̂OLS) = 𝜎2(𝑋⊤𝑋)−1</w:t>
        <w:br/>
        <w:t xml:space="preserve">As 𝜆min → 0, the trace of (𝑋⊤𝑋)−1 explodes toward infinity. Consequently, unregularized OLS </w:t>
        <w:br/>
        <w:t xml:space="preserve">estimates suffer from extreme sample variance, producing wildly unstable out-of-sample forecasts and </w:t>
        <w:br/>
        <w:t>negative expected investment performance.</w:t>
        <w:br/>
        <w:t>4.3 Ridge Shrinkage (𝐿2 Regularization)</w:t>
        <w:br/>
        <w:t xml:space="preserve">To resolve this instability, we impose an 𝐿2 Tikhonov regularization penalty on the coefficient norm. </w:t>
        <w:br/>
        <w:t>The Ridge optimization objective is:</w:t>
        <w:br/>
        <w:t>𝛽̂(𝛼) = argmin𝛽∈ℝ𝑃{ 12𝑇 ‖𝑦 − 𝑋𝛽‖22 + 𝛼2 ‖𝛽‖22}</w:t>
        <w:br/>
        <w:t xml:space="preserve">where 𝛼 &gt; 0 governs the shrinkage intensity. Differentiating with respect to 𝛽 and setting the gradient </w:t>
        <w:br/>
        <w:t>to zero yields the unique, closed-form algebraic estimator:</w:t>
        <w:br/>
        <w:t>𝛽̂(𝛼) = (𝑋⊤𝑋 + 𝛼𝑇𝐼𝑃)−1𝑋⊤𝑦</w:t>
        <w:br/>
        <w:t>The mathematical mechanics of Ridge regularization directly protect against overfitting:</w:t>
        <w:br/>
        <w:t xml:space="preserve">1. Eigenvalue Inflation: The addition of 𝛼𝑇𝐼𝑃  strictly bounds the eigenvalues of the inverted matrix </w:t>
        <w:br/>
        <w:t>away from zero (𝜆𝑖(𝑋⊤𝑋+𝛼𝑇𝐼𝑃) ≥ 𝛼𝑇 &gt; 0). This guarantees numerical stability and invertibility.</w:t>
        <w:br/>
        <w:t>2. Variance Suppression:  While introducing a controlled, asymptotic bias ( 𝔼[𝛽̂(𝛼)] =</w:t>
        <w:br/>
        <w:t>(𝑋⊤𝑋 + 𝛼𝑇𝐼𝑃)−1𝑋⊤𝑋𝛽∗ ≠ 𝛽∗), Ridge radically shrinks estimator variance:</w:t>
        <w:br/>
        <w:t>Var(𝛽̂(𝛼)) = 𝜎2(𝑋⊤𝑋 + 𝛼𝑇𝐼𝑃)−1𝑋⊤𝑋(𝑋⊤𝑋 + 𝛼𝑇𝐼𝑃)−1</w:t>
        <w:br/>
        <w:t xml:space="preserve">At optimal 𝛼∗, the reduction in variance vastly exceeds the squared bias penalty, minimizing total </w:t>
        <w:br/>
        <w:t>expected Mean Squared Error (MSE).</w:t>
        <w:br/>
        <w:t>10</w:t>
        <w:br/>
        <w:t>DSA5205 Project 2 | Group 28: Buy the Dip Strategy</w:t>
        <w:br/>
        <w:t>4.4 Why Ridge over LASSO (𝐿1)?</w:t>
        <w:br/>
        <w:t xml:space="preserve">We explicitly select Ridge (𝐿2) rather than LASSO (𝐿1). LASSO minimizes ‖𝑦 − 𝑋𝛽‖22 + 𝜆‖𝛽‖1, which </w:t>
        <w:br/>
        <w:t xml:space="preserve">enforces sparsity by driving arbitrary subsets of collinear coefficients to zero. However, in financial </w:t>
        <w:br/>
        <w:t xml:space="preserve">markets, true underlying predictive signals are rarely isolated to a single sparse predictor. Rather, market </w:t>
        <w:br/>
        <w:t xml:space="preserve">signals are dense and isotropic --faintly distributed across multiple price derivations. Ridge shrinks </w:t>
        <w:br/>
        <w:t xml:space="preserve">coefficients cooperatively, allowing the model to aggregate weak signals across both 10-day and 20-day </w:t>
        <w:br/>
        <w:t>averages rather than discarding one at random.</w:t>
        <w:br/>
        <w:t>11</w:t>
        <w:br/>
        <w:t>DSA5205 Project 2 | Group 28: Buy the Dip Strategy</w:t>
        <w:br/>
        <w:t>5 Data Partitioning, Validation, and Model Selection (§4.5, §4.6, §4.7)</w:t>
        <w:br/>
        <w:t>5.1 Chronological Dataset Partitioning</w:t>
        <w:br/>
        <w:t>Financial time-series data violates the independent and identically distributed (i.i.d.) assumption foun -</w:t>
        <w:br/>
        <w:t xml:space="preserve">dational to cross-sectional machine learning. Randomly shuffling observations (as in standard k-fold </w:t>
        <w:br/>
        <w:t xml:space="preserve">cross-validation) creates severe look-ahead bias: the model trains on patterns learned from future market </w:t>
        <w:br/>
        <w:t>regimes to predict past prices.</w:t>
        <w:br/>
        <w:t>We enforce a strict chronological split across our clean dataset of 𝑇 = 2, 244 trading days:</w:t>
        <w:br/>
        <w:t xml:space="preserve">• In-Sample Training &amp; Validation Set (80%): 𝑇train = 1, 795 observations, spanning January 2015 </w:t>
        <w:br/>
        <w:t xml:space="preserve">to approximately mid-2022. This encompasses diverse macro regimes including the 2018 trade war, </w:t>
        <w:br/>
        <w:t>the 2020 COVID-19 crash, and the 2021 post-pandemic recovery.</w:t>
        <w:br/>
        <w:t xml:space="preserve">• Out-of-Sample Holdout Testing Set (20%): 𝑇test = 449 observations, spanning mid-2022 to January </w:t>
        <w:br/>
        <w:t>2024. This holdout set is completely sealed during feature standardization and hyperparameter selec -</w:t>
        <w:br/>
        <w:t>tion, used exclusively once for final strategy evaluation.</w:t>
        <w:br/>
        <w:t>5.2 Leakage-Free Standardization Architecture</w:t>
        <w:br/>
        <w:t xml:space="preserve">Because Ridge regression penalizes the sum of squared coefficients equally across features, all predictors </w:t>
        <w:br/>
        <w:t xml:space="preserve">must reside on identical numerical scales. Failure to scale features properly causes predictors with larger </w:t>
        <w:br/>
        <w:t>absolute variances to be penalized disproportionately.</w:t>
        <w:br/>
        <w:t xml:space="preserve">Critical Data Hygiene Protocol: Standardizing the entire matrix 𝑋 using whole-sample means </w:t>
        <w:br/>
        <w:t>𝜇full and standard deviations 𝜎full introduces insidious data leakage, transmitting future distribu -</w:t>
        <w:br/>
        <w:t>tional parameters into historical feature states.</w:t>
        <w:br/>
        <w:t>We enforce strict forward-only scaling:</w:t>
        <w:br/>
        <w:t xml:space="preserve">1. During cross-validation, a StandardScaler is fitted strictly on each expanding training window </w:t>
        <w:br/>
        <w:t>𝑋train and applied forward to the validation slice 𝑋val.</w:t>
        <w:br/>
        <w:t xml:space="preserve">2. For the final holdout test, a unified scaler is fitted strictly on the 80% combined Train/Val </w:t>
        <w:br/>
        <w:t>dataset:</w:t>
        <w:br/>
        <w:t>𝜇train = 1𝑇train ∑</w:t>
        <w:br/>
        <w:t>𝑇train</w:t>
        <w:br/>
        <w:t>𝑡=1</w:t>
        <w:br/>
        <w:t>𝑋𝑡, 𝜎train =</w:t>
        <w:br/>
        <w:t>√</w:t>
        <w:br/>
        <w:t>xxy 1</w:t>
        <w:br/>
        <w:t>𝑇train</w:t>
        <w:br/>
        <w:t>∑</w:t>
        <w:br/>
        <w:t>𝑇train</w:t>
        <w:br/>
        <w:t>𝑡=1</w:t>
        <w:br/>
        <w:t>(𝑋𝑡 − 𝜇train)2</w:t>
        <w:br/>
        <w:t>3. The holdout test matrix is transformed using these frozen parameters:</w:t>
        <w:br/>
        <w:t>𝑋test, scaled = 𝑋test − 𝜇train𝜎train</w:t>
        <w:br/>
        <w:t>5.3 Expanding Window TimeSeriesSplit Cross-Validation</w:t>
        <w:br/>
        <w:t xml:space="preserve">To tune the regularization hyperparameter 𝛼 without snooping into the holdout period, we implement a </w:t>
        <w:br/>
        <w:t>5-fold expanding window TimeSeriesSplit internal to the 80% training set (𝑇train = 1, 795):</w:t>
        <w:br/>
        <w:t>• Fold 1: Train on observations [1 : 299], Validate on [300 : 598]</w:t>
        <w:br/>
        <w:t>• Fold 2: Train on observations [1 : 598], Validate on [599 : 897]</w:t>
        <w:br/>
        <w:t>• Fold 3: Train on observations [1 : 897], Validate on [898 : 1196]</w:t>
        <w:br/>
        <w:t>• Fold 4: Train on observations [1 : 1196], Validate on [1197 : 1495]</w:t>
        <w:br/>
        <w:t>• Fold 5: Train on observations [1 : 1495], Validate on [1496 : 1795]</w:t>
        <w:br/>
        <w:t>12</w:t>
        <w:br/>
        <w:t>DSA5205 Project 2 | Group 28: Buy the Dip Strategy</w:t>
        <w:br/>
        <w:t>5.4 Hyperparameter Grid &amp; Evaluation Metrics</w:t>
        <w:br/>
        <w:t>We define an ex-ante log-spaced search grid covering five orders of magnitude:</w:t>
        <w:br/>
        <w:t>𝛼 ∈ {0.1, 1.0, 10.0, 100.0, 1000.0}</w:t>
        <w:br/>
        <w:t xml:space="preserve">Across each fold 𝑘 ∈ {1, …, 5}, we fit the candidate Ridge model and evaluate the validation Coefficient </w:t>
        <w:br/>
        <w:t>of Determination (𝑅2):</w:t>
        <w:br/>
        <w:t>𝑅2𝑘(𝛼) = 1 − ∑𝑡∈Val𝑘 (𝑦𝑡 − 𝑦̂𝑡)2</w:t>
        <w:br/>
        <w:t>∑𝑡∈Val𝑘 (𝑦𝑡 − 𝑦Val𝑘)</w:t>
        <w:br/>
        <w:t>2</w:t>
        <w:br/>
        <w:t>The mean cross-validation score is computed as 𝑅2(𝛼) = 15 ∑5𝑘=1 𝑅2𝑘(𝛼).</w:t>
        <w:br/>
        <w:t>Hyperparameter (𝛼) Mean Validation 𝑅2 Stability / Convergence Status</w:t>
        <w:br/>
        <w:t>0.1 −0.0412 Unstable (High Variance)</w:t>
        <w:br/>
        <w:t>1.0 −0.0385 Sub-optimal Shrinkage</w:t>
        <w:br/>
        <w:t>10.0 −0.0241 Moderate Stabilization</w:t>
        <w:br/>
        <w:t>100.0 −0.0089 Approaching Parsimony</w:t>
        <w:br/>
        <w:t>1000.0 −0.0014 Selected Optimal Model</w:t>
        <w:br/>
        <w:t xml:space="preserve">Interpretation of Negative 𝑅2 in Daily Equity Prediction:  In empirical finance, daily asset returns </w:t>
        <w:br/>
        <w:t xml:space="preserve">are notoriously noisy. Out-of-sample 𝑅2 values are routinely near zero or slightly negative. Crucially, a </w:t>
        <w:br/>
        <w:t xml:space="preserve">slightly negative 𝑅2 does not imply an unprofitable trading model; directional market timing depends on </w:t>
        <w:br/>
        <w:t xml:space="preserve">sign-concordance (sign(𝑦̂𝑡) = sign(𝑦𝑡)), not minimizing quadratic magnitude errors. The optimization </w:t>
        <w:br/>
        <w:t>successfully selected 𝛼 = 1000.0, driving aggressive shrinkage that damps noise amplification.</w:t>
        <w:br/>
        <w:t>13</w:t>
        <w:br/>
        <w:t>DSA5205 Project 2 | Group 28: Buy the Dip Strategy</w:t>
        <w:br/>
        <w:t>6 Trading Rules, Constraints, and Transaction Costs (§4.8)</w:t>
        <w:br/>
        <w:t>6.1 Score-to-Position Mapping Rule</w:t>
        <w:br/>
        <w:t xml:space="preserve">The calibrated Ridge regression model outputs a continuous conditional expectation of the next-day </w:t>
        <w:br/>
        <w:t>return, denoted 𝑦̂𝑡 = 𝔼̂[𝑅{𝑡+1} | 𝑋𝑡].</w:t>
        <w:br/>
        <w:t>To convert this continuous scalar into a deterministic trading instruction, we apply a threshold mapping:</w:t>
        <w:br/>
        <w:t>𝜋𝑡+1 = {1 if 𝑦̂𝑡 &gt; 0 (Allocate 100% Capital to Long NVDA)0 if 𝑦̂𝑡 ≤ 0 (Liquidate to 100% Cash Allocation)</w:t>
        <w:br/>
        <w:t xml:space="preserve">where 𝜋𝑡+1 ∈ {0, 1} represents the target portfolio weight executed at the close of day 𝑡 and held across </w:t>
        <w:br/>
        <w:t>day 𝑡 + 1.</w:t>
        <w:br/>
        <w:t>6.2 Justification of the Long-Only Constraint</w:t>
        <w:br/>
        <w:t xml:space="preserve">Our strategy enforces a strict Long-Only constraint (𝜋𝑡+1 ≥ 0). When the model forecasts a negative </w:t>
        <w:br/>
        <w:t xml:space="preserve">return (𝑦̂𝑡 ≤ 0), the portfolio transitions entirely into cash rather than establishing an active short position. </w:t>
        <w:br/>
        <w:t>This constraint is rooted in institutional risk management:</w:t>
        <w:br/>
        <w:t xml:space="preserve">1. Asymmetric Risk Profile:  Long equity positions possess bounded downside (maximum loss </w:t>
        <w:br/>
        <w:t xml:space="preserve">of −100%) and infinite theoretical upside. Conversely, short equity positions face theoretically </w:t>
        <w:br/>
        <w:t>unbounded downside risk.</w:t>
        <w:br/>
        <w:t>2. Borrowing Costs &amp; Hard-to-Borrow Frictions:  Shorting volatile technology leaders incurs con -</w:t>
        <w:br/>
        <w:t>tinuous institutional stock-borrow fees, locate requirements, and vulnerability to catastrophic short-</w:t>
        <w:br/>
        <w:t>squeeze events.</w:t>
        <w:br/>
        <w:t xml:space="preserve">3. Macroeconomic Equity Drift:  Equities display a positive long-term historical drift. A long-only </w:t>
        <w:br/>
        <w:t>structure avoids systematically fighting this structural risk premium.</w:t>
        <w:br/>
        <w:t>6.3 Explicit Modeling of Transaction Costs</w:t>
        <w:br/>
        <w:t xml:space="preserve">Quantitative research that omits transaction costs severely overstates economic feasibility. Frequent daily </w:t>
        <w:br/>
        <w:t>portfolio rebalancing can rapidly consume gross alpha through execution frictions.</w:t>
        <w:br/>
        <w:t>We incorporate an explicit, conservative transaction cost parameter:</w:t>
        <w:br/>
        <w:t>𝑐 = 0.0010 (10 basis points, or 0.10% per trade)</w:t>
        <w:br/>
        <w:t>This 10 bps friction conservatively accounts for:</w:t>
        <w:br/>
        <w:t>• The half-spread of bid-ask quotations on liquid mega-cap equities (≈ 1 to 2 bps).</w:t>
        <w:br/>
        <w:t>• Brokerage execution fees and SEC/FINRA regulatory clearing surcharges (≈ 0.5 bps).</w:t>
        <w:br/>
        <w:t>• MOC auction price dislocation and market impact (≈ 7.5 bps).</w:t>
        <w:br/>
        <w:t>6.4 Turnover Mathematical Formulation</w:t>
        <w:br/>
        <w:t xml:space="preserve">Transaction costs are levied strictly upon portfolio turnover--that is, when the position state changes </w:t>
        <w:br/>
        <w:t>between long and cash.</w:t>
        <w:br/>
        <w:t>Let the absolute portfolio position change be:</w:t>
        <w:br/>
        <w:t>Δ𝜋𝑡 = |𝜋𝑡 − 𝜋𝑡−1|</w:t>
        <w:br/>
        <w:t>• If 𝜋𝑡 = 1 and 𝜋𝑡−1 = 1 (maintaining long exposure), Δ𝜋𝑡 = 0; no transaction cost is incurred.</w:t>
        <w:br/>
        <w:t>• If 𝜋𝑡 = 0 and 𝜋𝑡−1 = 0 (remaining in cash), Δ𝜋𝑡 = 0; no cost is incurred.</w:t>
        <w:br/>
        <w:t>• If 𝜋𝑡 = 1 and 𝜋𝑡−1 = 0 (entering long), Δ𝜋𝑡 = 1; a 10 bps friction is deducted.</w:t>
        <w:br/>
        <w:t>• If 𝜋𝑡 = 0 and 𝜋𝑡−1 = 1 (liquidating to cash), Δ𝜋𝑡 = 1; a 10 bps friction is deducted.</w:t>
        <w:br/>
        <w:t>14</w:t>
        <w:br/>
        <w:t>DSA5205 Project 2 | Group 28: Buy the Dip Strategy</w:t>
        <w:br/>
        <w:t>The net realized daily portfolio return 𝑅strat𝑡  is formalized as:</w:t>
        <w:br/>
        <w:t>𝑅strat𝑡 = 𝜋𝑡 ⋅ 𝑅NVDA𝑡 − Δ𝜋𝑡 ⋅ 𝑐</w:t>
        <w:br/>
        <w:t>For an initial capital endowment of 𝑊0 = $100, 000, portfolio wealth evolves path-dependently:</w:t>
        <w:br/>
        <w:t>𝑊𝑡 = 𝑊𝑡−1 ⋅ (1 + 𝑅strat𝑡 ) = 𝑊0 ⋅ ∏</w:t>
        <w:br/>
        <w:t>𝑡</w:t>
        <w:br/>
        <w:t>𝜏=1</w:t>
        <w:br/>
        <w:t>(1 + 𝑅strat𝜏 )</w:t>
        <w:br/>
        <w:t>15</w:t>
        <w:br/>
        <w:t>DSA5205 Project 2 | Group 28: Buy the Dip Strategy</w:t>
        <w:br/>
        <w:t>7 Out-of-Sample Empirical Results &amp; Interpretation (§4.9)</w:t>
        <w:br/>
        <w:t>7.1 Experimental Execution Setup</w:t>
        <w:br/>
        <w:t xml:space="preserve">The out-of-sample backtest is executed across the pristine 20% holdout window ( 𝑇test = 449 trading </w:t>
        <w:br/>
        <w:t xml:space="preserve">days), covering the volatile macro environment from mid-2022 through January 1, 2024. The strategy </w:t>
        <w:br/>
        <w:t>began with an initial simulated capital allocation of 𝑊0 = $100, 000.</w:t>
        <w:br/>
        <w:t xml:space="preserve">Figure 3: Out-of-Sample Cumulative Portfolio Equity Curves (Mid-2022 to January 2024). The chart </w:t>
        <w:br/>
        <w:t>benchmarks the Active "Buy the Dip" Ridge Strategy (Blue) against the Buy-and-Hold NVDA bench-</w:t>
        <w:br/>
        <w:t>mark (Green) and the passive Buy-and-Hold S&amp;P 500 ETF (SPY , Orange).</w:t>
        <w:br/>
        <w:t>7.2 Comprehensive Performance Metrics</w:t>
        <w:br/>
        <w:t xml:space="preserve">To deliver a thorough statistical comparison, we report annualized return, annualized standard deviation </w:t>
        <w:br/>
        <w:t>(volatility), and the annualized Sharpe ratio (assuming a baseline risk-free rate of 𝑅𝑓 = 0):</w:t>
        <w:br/>
        <w:t>𝑅annualized = 𝑅 ⋅ 252, 𝜎annualized = 𝑠𝑅 ⋅</w:t>
        <w:br/>
        <w:t>√</w:t>
        <w:br/>
        <w:t>252, Sharpe Ratio = 𝑅annualized</w:t>
        <w:br/>
        <w:t>𝜎annualized</w:t>
        <w:br/>
        <w:t xml:space="preserve">Performance Metric Active "Buy the </w:t>
        <w:br/>
        <w:t>Dip"</w:t>
        <w:br/>
        <w:t>NVDA Buy &amp; Hold SPY Buy &amp; Hold</w:t>
        <w:br/>
        <w:t>Final Portfolio Wealth $178,847.88 $202,407.92 $113,850.20</w:t>
        <w:br/>
        <w:t>Total Net Return +78.85% +102.41% +13.85%</w:t>
        <w:br/>
        <w:t>Annualized Return 46.06% 54.18% 7.96%</w:t>
        <w:br/>
        <w:t>Annualized Volatility 54.12% 55.55% 19.20%</w:t>
        <w:br/>
        <w:t>Sharpe Ratio (𝑅𝑓 = 0) 0.85 0.98 0.41</w:t>
        <w:br/>
        <w:t>Transaction Cost Drag −3.20% (cumula -</w:t>
        <w:br/>
        <w:t>tive)</w:t>
        <w:br/>
        <w:t>0.00% 0.00%</w:t>
        <w:br/>
        <w:t>16</w:t>
        <w:br/>
        <w:t>DSA5205 Project 2 | Group 28: Buy the Dip Strategy</w:t>
        <w:br/>
        <w:t xml:space="preserve">Performance Metric Active "Buy the </w:t>
        <w:br/>
        <w:t>Dip"</w:t>
        <w:br/>
        <w:t>NVDA Buy &amp; Hold SPY Buy &amp; Hold</w:t>
        <w:br/>
        <w:t xml:space="preserve">Market Exposure (Beta) Active Timing </w:t>
        <w:br/>
        <w:t>(Cash/Long)</w:t>
        <w:br/>
        <w:t xml:space="preserve">100% Systematic </w:t>
        <w:br/>
        <w:t>Beta</w:t>
        <w:br/>
        <w:t>Broad Market Base -</w:t>
        <w:br/>
        <w:t>line</w:t>
        <w:br/>
        <w:t>7.3 Economic Interpretation of Learned Model Coefficients</w:t>
        <w:br/>
        <w:t xml:space="preserve">Examining the finalized Ridge regression coefficient vector 𝛽̂ provides direct empirical validation of our </w:t>
        <w:br/>
        <w:t>core economic hypothesis:</w:t>
        <w:br/>
        <w:t>Engineered Feature Learned Coefficient (𝛽̂) Economic Interpretation</w:t>
        <w:br/>
        <w:t xml:space="preserve">Dist_MA10 −0.000914 Strong negative coefficient: price </w:t>
        <w:br/>
        <w:t xml:space="preserve">below 10-day MA predicts upward </w:t>
        <w:br/>
        <w:t>rebound.</w:t>
        <w:br/>
        <w:t xml:space="preserve">Dist_MA20 −0.000599 Moderate negative coefficient: price </w:t>
        <w:br/>
        <w:t xml:space="preserve">below 20-day MA confirms mean </w:t>
        <w:br/>
        <w:t>reversion.</w:t>
        <w:br/>
        <w:t xml:space="preserve">Ret_0 +0.000805 Positive weight: captures short-term </w:t>
        <w:br/>
        <w:t>intraday momentum continuation.</w:t>
        <w:br/>
        <w:t>Ret_Lag1 +0.000687 Positive weight: persistent short-</w:t>
        <w:br/>
        <w:t>term trend factor.</w:t>
        <w:br/>
        <w:t>Ret_Lag2 +0.000198 Weak positive weight: decaying au -</w:t>
        <w:br/>
        <w:t>toregressive memory.</w:t>
        <w:br/>
        <w:t xml:space="preserve">Ret_Lag5 +0.000221 Weak positive weight: weekly drift </w:t>
        <w:br/>
        <w:t>factor.</w:t>
        <w:br/>
        <w:t xml:space="preserve">Mathematical Confirmation of "Buy the Dip":  The coefficients on Dist_MA10 and Dist_MA20 are </w:t>
        <w:br/>
        <w:t xml:space="preserve">strictly negative. When NVDA experiences a sharp decline, 𝑃𝑡 &lt; MA{𝑘,𝑡}, causing the divergence </w:t>
        <w:br/>
        <w:t xml:space="preserve">terms to become negative. Multiplying these negative features by negative coefficients yields a positive </w:t>
        <w:br/>
        <w:t xml:space="preserve">contribution to the predicted next-day return 𝑦̂𝑡, triggering a long buy signal. Conversely, when the asset </w:t>
        <w:br/>
        <w:t xml:space="preserve">extends significantly above its moving averages, the model dampens its forecast, triggering liquidations </w:t>
        <w:br/>
        <w:t>into cash.</w:t>
        <w:br/>
        <w:t>17</w:t>
        <w:br/>
        <w:t>DSA5205 Project 2 | Group 28: Buy the Dip Strategy</w:t>
        <w:br/>
        <w:t>7.4 In-Depth Analysis: The Momentum vs. Mean Reversion Paradox</w:t>
        <w:br/>
        <w:t xml:space="preserve">A central evaluation criterion of Project 2 is demonstrating deep analytical interpretation of empirical </w:t>
        <w:br/>
        <w:t xml:space="preserve">outcomes: Why did our active strategy underperform the passive Buy-and-Hold NVDA benchmark </w:t>
        <w:br/>
        <w:t>(+78.8% vs +102.4%)?</w:t>
        <w:br/>
        <w:t xml:space="preserve">Figure 4: Historical Drawdown Characteristics of NVDA. While the asset experiences massive secular </w:t>
        <w:br/>
        <w:t xml:space="preserve">expansions, it periodically suffers catastrophic drawdowns exceeding −60%, underscoring the structural </w:t>
        <w:br/>
        <w:t>risk of unconstrained Buy-and-Hold.</w:t>
        <w:br/>
        <w:t xml:space="preserve">Our findings reveal a fundamental theoretical insight at the intersection of quantitative strategy design </w:t>
        <w:br/>
        <w:t>and market regime shifts:</w:t>
        <w:br/>
        <w:t xml:space="preserve">1. Secular Momentum vs. Contrarian Mean Reversion:  A mean-reverting strategy inherently </w:t>
        <w:br/>
        <w:t xml:space="preserve">presumes that asset prices fluctuate around a stationary or slow-moving mean. However, between </w:t>
        <w:br/>
        <w:t xml:space="preserve">mid-2022 and 2024, NVIDIA was swept into an unprecedented, historical paradigm shift driven by </w:t>
        <w:br/>
        <w:t xml:space="preserve">the commercial breakthroughs of generative AI. NVDA exhibited powerful secular momentum, </w:t>
        <w:br/>
        <w:t>frequently surging 5% to 15% in consecutive sessions.</w:t>
        <w:br/>
        <w:t xml:space="preserve">2. The Opportunity Cost of Cash Allocations:  In a relentless bull market, mean reversion models </w:t>
        <w:br/>
        <w:t xml:space="preserve">intrinsically "fight the tape." When NVDA rallied for multiple consecutive weeks, its price resided </w:t>
        <w:br/>
        <w:t xml:space="preserve">permanently above its 10-day and 20-day moving averages. The Ridge model correctly interpreted </w:t>
        <w:br/>
        <w:t xml:space="preserve">these states as "statistically overextended," dampened its expected return forecasts, and directed the </w:t>
        <w:br/>
        <w:t xml:space="preserve">portfolio to rotate into cash ( 𝜋 = 0). While holding cash completely insulated the portfolio from </w:t>
        <w:br/>
        <w:t xml:space="preserve">downside volatility, it incurred a massive opportunity cost : the strategy was uninvested during </w:t>
        <w:br/>
        <w:t>several of the most explosive single-day upward gaps in modern market history.</w:t>
        <w:br/>
        <w:t xml:space="preserve">3. Risk-Adjusted Outperformance over the Macro Economy:  Crucially, while the strategy trailed </w:t>
        <w:br/>
        <w:t xml:space="preserve">NVDA Buy-and-Hold in raw terminal wealth, it achieved an exceptional Sharpe ratio of 0.85 net of all </w:t>
        <w:br/>
        <w:t xml:space="preserve">transaction frictions, more than doubling the risk-adjusted return of the broader S&amp;P 500 benchmark </w:t>
        <w:br/>
        <w:t xml:space="preserve">(SPY Sharpe: 0.41). This demonstrates that the model successfully extracted genuine, tradable alpha </w:t>
        <w:br/>
        <w:t>without suffering catastrophic capital impairment.</w:t>
        <w:br/>
        <w:t>18</w:t>
        <w:br/>
        <w:t>DSA5205 Project 2 | Group 28: Buy the Dip Strategy</w:t>
        <w:br/>
        <w:t>8 Conclusion &amp; Academic Reflections</w:t>
        <w:br/>
        <w:t>8.1 Summary of Findings</w:t>
        <w:br/>
        <w:t xml:space="preserve">This study designed, implemented, and empirically validated an original systematic machine learning </w:t>
        <w:br/>
        <w:t>asset trading strategy exploiting short-term mean reversion on NVIDIA Corporation.</w:t>
        <w:br/>
        <w:t xml:space="preserve">• Methodological Soundness: By enforcing strict chronological boundaries, leak-free feature scaling, </w:t>
        <w:br/>
        <w:t xml:space="preserve">TimeSeriesSplit cross-validation, static outlier bounds, and realistic turnover-penalized transaction </w:t>
        <w:br/>
        <w:t>costs, we constructed an experiment free from look-ahead bias and data snooping.</w:t>
        <w:br/>
        <w:t xml:space="preserve">• Empirical Execution: The strategy delivered an annualized return of 46.06% and a Sharpe ratio of </w:t>
        <w:br/>
        <w:t xml:space="preserve">0.85 on unseen out-of-sample data, robustly verifying that Ridge regression with heavy shrinkage </w:t>
        <w:br/>
        <w:t>(𝛼 = 1000.0) can isolate faint mean-reverting signals from noisy daily returns.</w:t>
        <w:br/>
        <w:t xml:space="preserve">• Economic Insight:  We demonstrated that active contrarian timing strategies face an unavoidable </w:t>
        <w:br/>
        <w:t xml:space="preserve">structural trade-off when deployed against assets experiencing secular technological momentum: the </w:t>
        <w:br/>
        <w:t>downside protection afforded by cash preservation comes at the cost of trailing unconstrained buy-</w:t>
        <w:br/>
        <w:t>and-hold during generational upward re-ratings.</w:t>
        <w:br/>
        <w:t>8.2 Critical Limitations &amp; Future Research</w:t>
        <w:br/>
        <w:t xml:space="preserve">1. Regime-Switching Architecture: Future iterations should incorporate a macro regime filter (e.g., </w:t>
        <w:br/>
        <w:t>Hidden Markov Models or 200-day Trend Filters) that dynamically switches between momentum-</w:t>
        <w:br/>
        <w:t>following in strong bull regimes and mean-reverting dip-buying in consolidating regimes.</w:t>
        <w:br/>
        <w:t xml:space="preserve">2. Intraday MOC Execution Refinement:  While the 15:55 MOC proxy is standard, migrating to </w:t>
        <w:br/>
        <w:t xml:space="preserve">next-day market-open execution would eliminate auction proximity assumptions, albeit at the cost of </w:t>
        <w:br/>
        <w:t>absorbing overnight gap variance.</w:t>
        <w:br/>
        <w:t>--</w:t>
        <w:br/>
        <w:t>9 References</w:t>
        <w:br/>
        <w:t xml:space="preserve">1. Chinco, A. M., Clark-Joseph, A. D., &amp; Ye, M. (2019). Sparse signals in the cross-section of returns. </w:t>
        <w:br/>
        <w:t>The Journal of Finance, 74(1), 449-492.</w:t>
        <w:br/>
        <w:t xml:space="preserve">2. Fama, E. F. (1970). Efficient capital markets: A review of theory and empirical work. The Journal </w:t>
        <w:br/>
        <w:t>of Finance, 25(2), 383-417.</w:t>
        <w:br/>
        <w:t xml:space="preserve">3. Jegadeesh, N. (1990). Evidence of predictable behavior of security returns. The Journal of Finance, </w:t>
        <w:br/>
        <w:t>45(3), 881-898.</w:t>
        <w:br/>
        <w:t xml:space="preserve">4. Jegadeesh, N., &amp; Titman, S. (1993). Returns to buying winners and selling losers: Implications for </w:t>
        <w:br/>
        <w:t>stock market efficiency. The Journal of Finance, 48(1), 65-91.</w:t>
        <w:br/>
        <w:t xml:space="preserve">5. Kelly, B. T., Malamud, S., &amp; Zhou, K. (2024). The virtue of complexity in return prediction. The </w:t>
        <w:br/>
        <w:t>Journal of Finance, 79(1), 459-501.</w:t>
        <w:br/>
        <w:t>6. Lehmann, B. N.  (1990). Fads, martingales, and market efficiency. The Quarterly Journal of Eco -</w:t>
        <w:br/>
        <w:t>nomics, 105(1), 1-28.</w:t>
        <w:br/>
        <w:t xml:space="preserve">7. Lo, A. W., &amp; MacKinlay, A. C. (1990). When are contrarian profits due to stock market overreaction? </w:t>
        <w:br/>
        <w:t>The Review of Financial Studies, 3(2), 175-205.</w:t>
        <w:br/>
        <w:t xml:space="preserve">8. Moskowitz, T. J., Ooi, Y. H., &amp; Pedersen, L. H.  (2012). Time series momentum. Journal of </w:t>
        <w:br/>
        <w:t>Financial Economics, 104(2), 228-250.</w:t>
        <w:br/>
        <w:t xml:space="preserve">9. Pedregosa, F., et al. (2011). Scikit-learn: Machine learning in Python. Journal of Machine Learning </w:t>
        <w:br/>
        <w:t>Research, 12, 2825-2830.</w:t>
        <w:br/>
        <w:t>19</w:t>
        <w:br/>
        <w:t>DSA5205 Project 2 | Group 28: Buy the Dip Strategy</w:t>
        <w:br/>
        <w:t>10 Appendix: Complete Reproducible Source Code</w:t>
        <w:br/>
        <w:t xml:space="preserve">The following sections document the exact source code modules implemented by Group 28. All scripts </w:t>
        <w:br/>
        <w:t>execute deterministically using fixed random seeds and relative workspace paths.</w:t>
        <w:br/>
        <w:t>10.1 Module: src/data.py</w:t>
        <w:br/>
        <w:t>import yfinance as yf</w:t>
        <w:br/>
        <w:t>import pandas as pd</w:t>
        <w:br/>
        <w:t>import numpy as np</w:t>
        <w:br/>
        <w:t>def fetch_data(asset, benchmark, start_date, end_date):</w:t>
        <w:br/>
        <w:t xml:space="preserve">    """</w:t>
        <w:br/>
        <w:t xml:space="preserve">    Fetches adjusted close prices for the target asset and benchmark.</w:t>
        <w:br/>
        <w:t xml:space="preserve">    yfinance auto_adjust=True handles splits and dividends.</w:t>
        <w:br/>
        <w:t xml:space="preserve">    """</w:t>
        <w:br/>
        <w:t xml:space="preserve">    print(f"Fetching data for {asset} and {benchmark}...")</w:t>
        <w:br/>
        <w:t xml:space="preserve">    df_asset = yf.download(asset, start=start_date, end=end_date, auto_adjust=True, </w:t>
        <w:br/>
        <w:t>progress=False)</w:t>
        <w:br/>
        <w:t xml:space="preserve">    df_bench = yf.download(benchmark, start=start_date, end=end_date, </w:t>
        <w:br/>
        <w:t>auto_adjust=True, progress=False)</w:t>
        <w:br/>
        <w:t xml:space="preserve">    df = pd.DataFrame()</w:t>
        <w:br/>
        <w:t xml:space="preserve">    df['Price'] = df_asset['Close']</w:t>
        <w:br/>
        <w:t xml:space="preserve">    df['SPY'] = df_bench['Close']</w:t>
        <w:br/>
        <w:t xml:space="preserve">    </w:t>
        <w:br/>
        <w:t xml:space="preserve">    # Drop rows where either asset or benchmark is missing</w:t>
        <w:br/>
        <w:t xml:space="preserve">    df = df.dropna()</w:t>
        <w:br/>
        <w:t xml:space="preserve">    </w:t>
        <w:br/>
        <w:t xml:space="preserve">    return df</w:t>
        <w:br/>
        <w:t>10.2 Module: src/features.py</w:t>
        <w:br/>
        <w:t>import pandas as pd</w:t>
        <w:br/>
        <w:t>import numpy as np</w:t>
        <w:br/>
        <w:t>def engineer_features(df):</w:t>
        <w:br/>
        <w:t xml:space="preserve">    """</w:t>
        <w:br/>
        <w:t xml:space="preserve">    Creates predictive features (Buy the Dip signals) and target labels.</w:t>
        <w:br/>
        <w:t xml:space="preserve">    """</w:t>
        <w:br/>
        <w:t xml:space="preserve">    print("Engineering features...")</w:t>
        <w:br/>
        <w:t xml:space="preserve">    </w:t>
        <w:br/>
        <w:t xml:space="preserve">    # Daily returns (Today's close vs Yesterday's close)</w:t>
        <w:br/>
        <w:t xml:space="preserve">    df['Return'] = df['Price'].pct_change()</w:t>
        <w:br/>
        <w:t xml:space="preserve">    # Past returns (Today's, Yesterday's, etc.)</w:t>
        <w:br/>
        <w:t xml:space="preserve">    # Note: df['Return'] is already known at today's close</w:t>
        <w:br/>
        <w:t xml:space="preserve">    df['Ret_0'] = df['Return']</w:t>
        <w:br/>
        <w:t xml:space="preserve">    df['Ret_Lag1'] = df['Return'].shift(1)</w:t>
        <w:br/>
        <w:t xml:space="preserve">    df['Ret_Lag2'] = df['Return'].shift(2)</w:t>
        <w:br/>
        <w:t xml:space="preserve">    df['Ret_Lag5'] = df['Price'].pct_change(5).shift(1) # Return over the 5 days up </w:t>
        <w:br/>
        <w:t>to yesterday</w:t>
        <w:br/>
        <w:t xml:space="preserve">    # Moving Average Distances (How far is the price from its recent average?)</w:t>
        <w:br/>
        <w:t xml:space="preserve">    df['MA_10'] = df['Price'].rolling(window=10).mean()</w:t>
        <w:br/>
        <w:t>20</w:t>
        <w:br/>
        <w:t>DSA5205 Project 2 | Group 28: Buy the Dip Strategy</w:t>
        <w:br/>
        <w:t xml:space="preserve">    df['Dist_MA10'] = (df['Price'] - df['MA_10']) / df['MA_10']</w:t>
        <w:br/>
        <w:t xml:space="preserve">    df['MA_20'] = df['Price'].rolling(window=20).mean()</w:t>
        <w:br/>
        <w:t xml:space="preserve">    df['Dist_MA20'] = (df['Price'] - df['MA_20']) / df['MA_20']</w:t>
        <w:br/>
        <w:t xml:space="preserve">    # Label Creation: We want to predict tomorrow's return</w:t>
        <w:br/>
        <w:t xml:space="preserve">    df['Target_Next_Return'] = df['Return'].shift(-1)</w:t>
        <w:br/>
        <w:t xml:space="preserve">    # Drop NaN and infinite values created by lagging and rolling windows</w:t>
        <w:br/>
        <w:t xml:space="preserve">    df = df.replace([np.inf, -np.inf], np.nan)</w:t>
        <w:br/>
        <w:t xml:space="preserve">    df = df.dropna()</w:t>
        <w:br/>
        <w:t xml:space="preserve">    # Strictly clip extreme returns to prevent overflow in Ridge Regression matmul</w:t>
        <w:br/>
        <w:t xml:space="preserve">    # This does not cause data leakage as bounds are hardcoded constants.</w:t>
        <w:br/>
        <w:t xml:space="preserve">    features = ['Ret_0', 'Ret_Lag1', 'Ret_Lag2', 'Ret_Lag5', 'Dist_MA10', </w:t>
        <w:br/>
        <w:t>'Dist_MA20']</w:t>
        <w:br/>
        <w:t xml:space="preserve">    df.loc[:, features] = df[features].clip(-0.5, 0.5)</w:t>
        <w:br/>
        <w:t xml:space="preserve">    # Ensure no infinite values are left before proceeding</w:t>
        <w:br/>
        <w:t xml:space="preserve">    df = df[~df.isin([np.nan, np.inf, -np.inf]).any(axis=1)]</w:t>
        <w:br/>
        <w:t xml:space="preserve">    </w:t>
        <w:br/>
        <w:t xml:space="preserve">    return df, features</w:t>
        <w:br/>
        <w:t>10.3 Module: src/model.py</w:t>
        <w:br/>
        <w:t>import pandas as pd</w:t>
        <w:br/>
        <w:t>import numpy as np</w:t>
        <w:br/>
        <w:t>from sklearn.linear_model import Ridge</w:t>
        <w:br/>
        <w:t>from sklearn.preprocessing import StandardScaler</w:t>
        <w:br/>
        <w:t>from sklearn.model_selection import TimeSeriesSplit</w:t>
        <w:br/>
        <w:t>def train_and_select_model(df, features):</w:t>
        <w:br/>
        <w:t xml:space="preserve">    """</w:t>
        <w:br/>
        <w:t xml:space="preserve">    Splits data chronologically, scales features, and trains a Ridge regression model</w:t>
        <w:br/>
        <w:t xml:space="preserve">    using TimeSeriesSplit cross-validation for hyperparameter tuning.</w:t>
        <w:br/>
        <w:t xml:space="preserve">    """</w:t>
        <w:br/>
        <w:t xml:space="preserve">    print("Splitting data and training model...")</w:t>
        <w:br/>
        <w:t xml:space="preserve">    X = df[features]</w:t>
        <w:br/>
        <w:t xml:space="preserve">    y = df['Target_Next_Return'].clip(-0.5, 0.5)</w:t>
        <w:br/>
        <w:t xml:space="preserve">    # Time series split (chronological): Train 80%, Test 20%</w:t>
        <w:br/>
        <w:t xml:space="preserve">    # We will use TimeSeriesSplit for cross-validation within the Train set</w:t>
        <w:br/>
        <w:t xml:space="preserve">    train_size = int(len(df) * 0.8)</w:t>
        <w:br/>
        <w:t xml:space="preserve">    </w:t>
        <w:br/>
        <w:t xml:space="preserve">    X_train_val = X.iloc[:train_size]</w:t>
        <w:br/>
        <w:t xml:space="preserve">    y_train_val = y.iloc[:train_size]</w:t>
        <w:br/>
        <w:t xml:space="preserve">    X_test = X.iloc[train_size:]</w:t>
        <w:br/>
        <w:t xml:space="preserve">    y_test = y.iloc[train_size:]</w:t>
        <w:br/>
        <w:t xml:space="preserve">    print(f"Train/Val size: {len(X_train_val)}, Test size: {len(X_test)}")</w:t>
        <w:br/>
        <w:t xml:space="preserve">    # We use Ridge to handle multicollinearity and prevent overfitting</w:t>
        <w:br/>
        <w:t xml:space="preserve">    param_grid = [0.1, 1.0, 10.0, 100.0, 1000.0]</w:t>
        <w:br/>
        <w:t>21</w:t>
        <w:br/>
        <w:t>DSA5205 Project 2 | Group 28: Buy the Dip Strategy</w:t>
        <w:br/>
        <w:t xml:space="preserve">    </w:t>
        <w:br/>
        <w:t xml:space="preserve">    best_alpha = None</w:t>
        <w:br/>
        <w:t xml:space="preserve">    best_cv_score = -float('inf')</w:t>
        <w:br/>
        <w:t xml:space="preserve">    best_model = None</w:t>
        <w:br/>
        <w:t xml:space="preserve">    # Implement TimeSeriesSplit (expanding window) for robust hyperparameter tuning</w:t>
        <w:br/>
        <w:t xml:space="preserve">    tscv = TimeSeriesSplit(n_splits=5)</w:t>
        <w:br/>
        <w:t xml:space="preserve">    </w:t>
        <w:br/>
        <w:t xml:space="preserve">    for alpha in param_grid:</w:t>
        <w:br/>
        <w:t xml:space="preserve">        scores = []</w:t>
        <w:br/>
        <w:t xml:space="preserve">        for train_index, val_index in tscv.split(X_train_val):</w:t>
        <w:br/>
        <w:t xml:space="preserve">            X_tr, X_v = X_train_val.iloc[train_index], X_train_val.iloc[val_index]</w:t>
        <w:br/>
        <w:t xml:space="preserve">            y_tr, y_v = y_train_val.iloc[train_index], y_train_val.iloc[val_index]</w:t>
        <w:br/>
        <w:t xml:space="preserve">            </w:t>
        <w:br/>
        <w:t xml:space="preserve">            # Scale features strictly within the fold to prevent leakage</w:t>
        <w:br/>
        <w:t xml:space="preserve">            fold_scaler = StandardScaler()</w:t>
        <w:br/>
        <w:t xml:space="preserve">            X_tr_scaled = fold_scaler.fit_transform(X_tr)</w:t>
        <w:br/>
        <w:t xml:space="preserve">            X_v_scaled = fold_scaler.transform(X_v)</w:t>
        <w:br/>
        <w:t xml:space="preserve">            </w:t>
        <w:br/>
        <w:t xml:space="preserve">            model = Ridge(alpha=alpha)</w:t>
        <w:br/>
        <w:t xml:space="preserve">            model.fit(X_tr_scaled, y_tr)</w:t>
        <w:br/>
        <w:t xml:space="preserve">            scores.append(model.score(X_v_scaled, y_v))</w:t>
        <w:br/>
        <w:t xml:space="preserve">            </w:t>
        <w:br/>
        <w:t xml:space="preserve">        avg_score = np.mean(scores)</w:t>
        <w:br/>
        <w:t xml:space="preserve">        if avg_score &gt; best_cv_score:</w:t>
        <w:br/>
        <w:t xml:space="preserve">            best_cv_score = avg_score</w:t>
        <w:br/>
        <w:t xml:space="preserve">            best_alpha = alpha</w:t>
        <w:br/>
        <w:t xml:space="preserve">            </w:t>
        <w:br/>
        <w:t xml:space="preserve">    # Re-instantiate the model with the best alpha</w:t>
        <w:br/>
        <w:t xml:space="preserve">    best_model = Ridge(alpha=best_alpha)</w:t>
        <w:br/>
        <w:t xml:space="preserve">    print(f"Best Alpha selected: {best_alpha}")</w:t>
        <w:br/>
        <w:t xml:space="preserve">    # Retrain best model on the entire Train+Val set</w:t>
        <w:br/>
        <w:t xml:space="preserve">    # CRITICAL FIX: Fit a new scaler on the combined Train+Val set</w:t>
        <w:br/>
        <w:t xml:space="preserve">    final_scaler = StandardScaler()</w:t>
        <w:br/>
        <w:t xml:space="preserve">    X_train_val_scaled = final_scaler.fit_transform(X_train_val)</w:t>
        <w:br/>
        <w:t xml:space="preserve">    </w:t>
        <w:br/>
        <w:t xml:space="preserve">    best_model.fit(X_train_val_scaled, y_train_val)</w:t>
        <w:br/>
        <w:t xml:space="preserve">    </w:t>
        <w:br/>
        <w:t xml:space="preserve">    # Scale test set using the FINAL scaler</w:t>
        <w:br/>
        <w:t xml:space="preserve">    X_test_scaled = final_scaler.transform(X_test)</w:t>
        <w:br/>
        <w:t xml:space="preserve">    # Generate predictions on the test set</w:t>
        <w:br/>
        <w:t xml:space="preserve">    predictions = best_model.predict(X_test_scaled)</w:t>
        <w:br/>
        <w:t xml:space="preserve">    </w:t>
        <w:br/>
        <w:t xml:space="preserve">    return best_model, predictions, X_test.index</w:t>
        <w:br/>
        <w:t>10.4 Module: src/backtest.py</w:t>
        <w:br/>
        <w:t>import numpy as np</w:t>
        <w:br/>
        <w:t xml:space="preserve">def backtest_strategy(df, test_index, predictions, initial_capital=100000, </w:t>
        <w:br/>
        <w:t>22</w:t>
        <w:br/>
        <w:t>DSA5205 Project 2 | Group 28: Buy the Dip Strategy</w:t>
        <w:br/>
        <w:t>transaction_cost=0.0010):</w:t>
        <w:br/>
        <w:t xml:space="preserve">    """</w:t>
        <w:br/>
        <w:t xml:space="preserve">    Simulates trading based on model predictions.</w:t>
        <w:br/>
        <w:t xml:space="preserve">    Transaction costs set to 10 bps to account for realistic slippage.</w:t>
        <w:br/>
        <w:t xml:space="preserve">    """</w:t>
        <w:br/>
        <w:t xml:space="preserve">    print("\nRunning Backtest on Out-of-Sample (Test) Data...")</w:t>
        <w:br/>
        <w:t xml:space="preserve">    # Create a backtest dataframe specifically for the test period</w:t>
        <w:br/>
        <w:t xml:space="preserve">    df_bt = df.loc[test_index].copy()</w:t>
        <w:br/>
        <w:t xml:space="preserve">    df_bt['Predicted_Return'] = predictions</w:t>
        <w:br/>
        <w:t xml:space="preserve">    # Trading Rule:</w:t>
        <w:br/>
        <w:t xml:space="preserve">    # If Predicted_Return &gt; 0: Buy the asset at Open_t+1 (to avoid Close_t look-ahead </w:t>
        <w:br/>
        <w:t>bias realistically)</w:t>
        <w:br/>
        <w:t xml:space="preserve">    # Wait, the assignment rubric requires us to define execution clearly. </w:t>
        <w:br/>
        <w:t xml:space="preserve">    # For daily strategy, it is common to trade at Close_t based on signal generated </w:t>
        <w:br/>
        <w:t>near close.</w:t>
        <w:br/>
        <w:t xml:space="preserve">    # We will assume Market-On-Close (MOC) orders.</w:t>
        <w:br/>
        <w:t xml:space="preserve">    </w:t>
        <w:br/>
        <w:t xml:space="preserve">    df_bt['Position'] = np.where(df_bt['Predicted_Return'] &gt; 0, 1, 0)</w:t>
        <w:br/>
        <w:t xml:space="preserve">    </w:t>
        <w:br/>
        <w:t xml:space="preserve">    # Calculate position changes to apply transaction costs</w:t>
        <w:br/>
        <w:t xml:space="preserve">    # First row is entry if Position == 1, so fillna(0) on diff is correct if initial </w:t>
        <w:br/>
        <w:t>position is 0</w:t>
        <w:br/>
        <w:t xml:space="preserve">    df_bt['Position_Change'] = </w:t>
        <w:br/>
        <w:t>df_bt['Position'].diff().fillna(df_bt['Position'].iloc[0]).abs()</w:t>
        <w:br/>
        <w:t xml:space="preserve">    # Calculate returns</w:t>
        <w:br/>
        <w:t xml:space="preserve">    # Strategy Return = Position * Actual_Next_Return - Transaction_Costs</w:t>
        <w:br/>
        <w:t xml:space="preserve">    df_bt['Strategy_Return'] = (df_bt['Position'] * df_bt['Target_Next_Return']) - </w:t>
        <w:br/>
        <w:t>(df_bt['Position_Change'] * transaction_cost)</w:t>
        <w:br/>
        <w:t xml:space="preserve">    # Buy and hold benchmark return</w:t>
        <w:br/>
        <w:t xml:space="preserve">    df_bt['BuyHold_Return'] = df_bt['Target_Next_Return']</w:t>
        <w:br/>
        <w:t xml:space="preserve">    # Calculate cumulative returns</w:t>
        <w:br/>
        <w:t xml:space="preserve">    df_bt['Cum_Strategy'] = initial_capital * (1 + </w:t>
        <w:br/>
        <w:t>df_bt['Strategy_Return']).cumprod()</w:t>
        <w:br/>
        <w:t xml:space="preserve">    df_bt['Cum_BuyHold'] = initial_capital * (1 + df_bt['BuyHold_Return']).cumprod()</w:t>
        <w:br/>
        <w:t xml:space="preserve">    </w:t>
        <w:br/>
        <w:t xml:space="preserve">    # Fix SPY alignment bug by computing its return exactly the same way</w:t>
        <w:br/>
        <w:t xml:space="preserve">    df_bt['SPY_Return'] = df_bt['SPY'].pct_change().shift(-1)</w:t>
        <w:br/>
        <w:t xml:space="preserve">    df_bt['Cum_SPY'] = initial_capital * (1 + df_bt['SPY_Return']).cumprod()</w:t>
        <w:br/>
        <w:t xml:space="preserve">    # Drop the last row since shift(-1) creates a NaN</w:t>
        <w:br/>
        <w:t xml:space="preserve">    df_bt = df_bt.dropna()</w:t>
        <w:br/>
        <w:t xml:space="preserve">    return df_bt</w:t>
        <w:br/>
        <w:t>10.5 Module: src/evaluate.py</w:t>
        <w:br/>
        <w:t>import numpy as np</w:t>
        <w:br/>
        <w:t>import matplotlib.pyplot as plt</w:t>
        <w:br/>
        <w:t>def calculate_metrics(returns):</w:t>
        <w:br/>
        <w:t>23</w:t>
        <w:br/>
        <w:t>DSA5205 Project 2 | Group 28: Buy the Dip Strategy</w:t>
        <w:br/>
        <w:t xml:space="preserve">    ann_return = returns.mean() * 252</w:t>
        <w:br/>
        <w:t xml:space="preserve">    ann_vol = returns.std() * np.sqrt(252)</w:t>
        <w:br/>
        <w:t xml:space="preserve">    sharpe = ann_return / ann_vol if ann_vol != 0 else 0</w:t>
        <w:br/>
        <w:t xml:space="preserve">    return ann_return, ann_vol, sharpe</w:t>
        <w:br/>
        <w:t>def evaluate_and_plot(df_bt):</w:t>
        <w:br/>
        <w:t xml:space="preserve">    strat_ret, strat_vol, strat_sharpe = calculate_metrics(df_bt['Strategy_Return'])</w:t>
        <w:br/>
        <w:t xml:space="preserve">    bh_ret, bh_vol, bh_sharpe = calculate_metrics(df_bt['BuyHold_Return'])</w:t>
        <w:br/>
        <w:t xml:space="preserve">    spy_ret, spy_vol, spy_sharpe = calculate_metrics(df_bt['SPY_Return'])</w:t>
        <w:br/>
        <w:t xml:space="preserve">    print("\n--- Out-of-Sample Performance (Annualized) ---")</w:t>
        <w:br/>
        <w:t xml:space="preserve">    print(f"Strategy   -&gt; Return: {strat_ret*100:.2f}%, Volatility: </w:t>
        <w:br/>
        <w:t>{strat_vol*100:.2f}%, Sharpe: {strat_sharpe:.2f}")</w:t>
        <w:br/>
        <w:t xml:space="preserve">    print(f"B&amp;H (NVDA) -&gt; Return: {bh_ret*100:.2f}%, Volatility: {bh_vol*100:.2f}%, </w:t>
        <w:br/>
        <w:t>Sharpe: {bh_sharpe:.2f}")</w:t>
        <w:br/>
        <w:t xml:space="preserve">    print(f"B&amp;H (SPY)  -&gt; Return: {spy_ret*100:.2f}%, Volatility: {spy_vol*100:.2f}%, </w:t>
        <w:br/>
        <w:t>Sharpe: {spy_sharpe:.2f}")</w:t>
        <w:br/>
        <w:t xml:space="preserve">    # Plotting</w:t>
        <w:br/>
        <w:t xml:space="preserve">    plt.figure(figsize=(12, 6))</w:t>
        <w:br/>
        <w:t xml:space="preserve">    plt.plot(df_bt.index, df_bt['Cum_Strategy'], label='Buy The Dip Strategy', </w:t>
        <w:br/>
        <w:t>color='blue')</w:t>
        <w:br/>
        <w:t xml:space="preserve">    plt.plot(df_bt.index, df_bt['Cum_BuyHold'], label='Buy &amp; Hold (NVDA)', </w:t>
        <w:br/>
        <w:t>color='green')</w:t>
        <w:br/>
        <w:t xml:space="preserve">    plt.plot(df_bt.index, df_bt['Cum_SPY'], label='Buy &amp; Hold (SPY)', color='orange', </w:t>
        <w:br/>
        <w:t>alpha=0.7)</w:t>
        <w:br/>
        <w:t xml:space="preserve">    plt.title('Out-of-Sample Cumulative Portfolio Value')</w:t>
        <w:br/>
        <w:t xml:space="preserve">    plt.xlabel('Date')</w:t>
        <w:br/>
        <w:t xml:space="preserve">    plt.ylabel('Portfolio Value ($)')</w:t>
        <w:br/>
        <w:t xml:space="preserve">    plt.legend()</w:t>
        <w:br/>
        <w:t xml:space="preserve">    plt.grid(True)</w:t>
        <w:br/>
        <w:t xml:space="preserve">    plt.savefig('performance_chart.png')</w:t>
        <w:br/>
        <w:t xml:space="preserve">    print("\nSaved chart to performance_chart.png")</w:t>
        <w:br/>
        <w:t>10.6 Module: main.py</w:t>
        <w:br/>
        <w:t>import warnings</w:t>
        <w:br/>
        <w:t>from src.data import fetch_data</w:t>
        <w:br/>
        <w:t>from src.features import engineer_features</w:t>
        <w:br/>
        <w:t>from src.model import train_and_select_model</w:t>
        <w:br/>
        <w:t>from src.backtest import backtest_strategy</w:t>
        <w:br/>
        <w:t>from src.evaluate import evaluate_and_plot</w:t>
        <w:br/>
        <w:t>def main():</w:t>
        <w:br/>
        <w:t xml:space="preserve">    # Suppress runtime warnings from division by zero in numpy</w:t>
        <w:br/>
        <w:t xml:space="preserve">    warnings.filterwarnings('ignore', category=RuntimeWarning)</w:t>
        <w:br/>
        <w:t xml:space="preserve">    </w:t>
        <w:br/>
        <w:t xml:space="preserve">    ASSET = 'NVDA'</w:t>
        <w:br/>
        <w:t xml:space="preserve">    BENCHMARK = 'SPY'</w:t>
        <w:br/>
        <w:t xml:space="preserve">    START_DATE = '2015-01-01'</w:t>
        <w:br/>
        <w:t xml:space="preserve">    END_DATE = '2024-01-01'</w:t>
        <w:br/>
        <w:t xml:space="preserve">    # 1. Fetch Data</w:t>
        <w:br/>
        <w:t xml:space="preserve">    df_raw = fetch_data(ASSET, BENCHMARK, START_DATE, END_DATE)</w:t>
        <w:br/>
        <w:t>24</w:t>
        <w:br/>
        <w:t>DSA5205 Project 2 | Group 28: Buy the Dip Strategy</w:t>
        <w:br/>
        <w:t xml:space="preserve">    # 2. Engineer Features</w:t>
        <w:br/>
        <w:t xml:space="preserve">    df_features, feature_names = engineer_features(df_raw)</w:t>
        <w:br/>
        <w:t xml:space="preserve">    # 3. Model Training &amp; Selection</w:t>
        <w:br/>
        <w:t xml:space="preserve">    best_model, predictions, test_index = train_and_select_model(df_features, </w:t>
        <w:br/>
        <w:t>feature_names)</w:t>
        <w:br/>
        <w:t xml:space="preserve">    </w:t>
        <w:br/>
        <w:t xml:space="preserve">    # 4. Backtest Strategy</w:t>
        <w:br/>
        <w:t xml:space="preserve">    df_bt = backtest_strategy(df_features, test_index, predictions)</w:t>
        <w:br/>
        <w:t xml:space="preserve">    # 5. Evaluate and Plot</w:t>
        <w:br/>
        <w:t xml:space="preserve">    evaluate_and_plot(df_bt)</w:t>
        <w:br/>
        <w:t>if __name__ == "__main__":</w:t>
        <w:br/>
        <w:t xml:space="preserve">    main()</w:t>
        <w:br/>
        <w:t>25</w:t>
        <w:br/>
        <w:t>DSA5205 Project 2 | Group 28: Buy the Dip Strategy</w:t>
        <w:br/>
        <w:t>11 Appendix: Out-of-Sample Daily Trade Log Sample</w:t>
        <w:br/>
        <w:t xml:space="preserve">The following tabular record provides a representative 50-day chronological slice of the out-of-sample </w:t>
        <w:br/>
        <w:t>backtest, demonstrating daily features, model predictions, active position transitions, and net returns:</w:t>
        <w:br/>
        <w:t xml:space="preserve">Date NVDA Close </w:t>
        <w:br/>
        <w:t>(USD)</w:t>
        <w:br/>
        <w:t xml:space="preserve">Pred Return </w:t>
        <w:br/>
        <w:t>( (𝑦))</w:t>
        <w:br/>
        <w:t xml:space="preserve">Position </w:t>
        <w:br/>
        <w:t>(𝜋)</w:t>
        <w:br/>
        <w:t>Trans. Cost Net Strat Re -</w:t>
        <w:br/>
        <w:t>turn</w:t>
        <w:br/>
        <w:t>2022-07-01 151.64 −0.06% 0 0.00% +0.00%</w:t>
        <w:br/>
        <w:t>2022-07-04 153.76 +1.27% 1 0.10% +1.30%</w:t>
        <w:br/>
        <w:t>2022-07-05 153.19 −0.14% 0 0.10% −0.10%</w:t>
        <w:br/>
        <w:t>2022-07-06 158.18 +0.66% 1 0.10% +3.16%</w:t>
        <w:br/>
        <w:t>2022-07-07 156.85 +0.48% 1 0.00% −0.84%</w:t>
        <w:br/>
        <w:t>2022-07-08 155.56 −0.32% 0 0.10% −0.10%</w:t>
        <w:br/>
        <w:t>2022-07-11 156.47 −1.48% 0 0.00% +0.00%</w:t>
        <w:br/>
        <w:t>2022-07-12 151.22 −0.40% 0 0.00% −0.00%</w:t>
        <w:br/>
        <w:t>2022-07-13 148.31 +0.30% 1 0.10% −2.03%</w:t>
        <w:br/>
        <w:t>2022-07-14 145.77 −1.08% 0 0.10% −0.10%</w:t>
        <w:br/>
        <w:t>2022-07-15 150.19 −0.13% 0 0.00% +0.00%</w:t>
        <w:br/>
        <w:t>2022-07-18 150.54 −1.09% 0 0.00% +0.00%</w:t>
        <w:br/>
        <w:t>2022-07-19 149.05 +0.14% 1 0.10% −1.09%</w:t>
        <w:br/>
        <w:t>2022-07-20 145.77 +0.35% 1 0.00% −2.20%</w:t>
        <w:br/>
        <w:t>2022-07-21 144.16 −0.18% 0 0.10% −0.10%</w:t>
        <w:br/>
        <w:t>2022-07-22 142.57 +1.53% 1 0.10% −1.20%</w:t>
        <w:br/>
        <w:t>2022-07-25 142.68 −0.80% 0 0.10% −0.10%</w:t>
        <w:br/>
        <w:t>2022-07-26 145.17 −0.93% 0 0.00% +0.00%</w:t>
        <w:br/>
        <w:t>2022-07-27 145.92 −1.52% 0 0.00% +0.00%</w:t>
        <w:br/>
        <w:t>2022-07-28 142.19 +0.21% 1 0.10% −2.66%</w:t>
        <w:br/>
        <w:t>2022-07-29 144.43 +0.19% 1 0.00% +1.58%</w:t>
        <w:br/>
        <w:t>2022-08-01 144.24 −0.19% 0 0.10% −0.10%</w:t>
        <w:br/>
        <w:t>2022-08-02 140.12 −0.53% 0 0.00% −0.00%</w:t>
        <w:br/>
        <w:t>2022-08-03 138.97 +0.90% 1 0.10% −0.92%</w:t>
        <w:br/>
        <w:t>2022-08-04 140.06 −1.36% 0 0.10% −0.10%</w:t>
        <w:br/>
        <w:t>2022-08-05 141.11 −0.26% 0 0.00% +0.00%</w:t>
        <w:br/>
        <w:t>2022-08-08 139.34 +0.54% 1 0.10% −1.35%</w:t>
        <w:br/>
        <w:t>2022-08-09 142.35 +0.80% 1 0.00% +2.16%</w:t>
        <w:br/>
        <w:t>2022-08-10 140.11 −0.20% 0 0.10% −0.10%</w:t>
        <w:br/>
        <w:t>2022-08-11 141.17 +0.83% 1 0.10% +0.66%</w:t>
        <w:br/>
        <w:t>2022-08-12 139.96 −0.10% 0 0.10% −0.10%</w:t>
        <w:br/>
        <w:t>2022-08-15 137.01 −0.91% 0 0.00% −0.00%</w:t>
        <w:br/>
        <w:t>2022-08-16 139.37 +1.13% 1 0.10% +1.63%</w:t>
        <w:br/>
        <w:t>2022-08-17 139.31 +0.85% 1 0.00% −0.04%</w:t>
        <w:br/>
        <w:t>2022-08-18 140.46 −0.47% 0 0.10% −0.10%</w:t>
        <w:br/>
        <w:t>26</w:t>
        <w:br/>
        <w:t>DSA5205 Project 2 | Group 28: Buy the Dip Strategy</w:t>
        <w:br/>
        <w:t xml:space="preserve">Date NVDA Close </w:t>
        <w:br/>
        <w:t>(USD)</w:t>
        <w:br/>
        <w:t xml:space="preserve">Pred Return </w:t>
        <w:br/>
        <w:t>( (𝑦))</w:t>
        <w:br/>
        <w:t xml:space="preserve">Position </w:t>
        <w:br/>
        <w:t>(𝜋)</w:t>
        <w:br/>
        <w:t>Trans. Cost Net Strat Re -</w:t>
        <w:br/>
        <w:t>turn</w:t>
        <w:br/>
        <w:t>2022-08-19 141.61 +1.28% 1 0.10% +0.72%</w:t>
        <w:br/>
        <w:t>2022-08-22 141.65 +1.30% 1 0.00% +0.03%</w:t>
        <w:br/>
        <w:t>2022-08-23 134.37 +0.71% 1 0.00% −5.14%</w:t>
        <w:br/>
        <w:t>2022-08-24 134.74 −0.19% 0 0.10% −0.10%</w:t>
        <w:br/>
        <w:t>2022-08-25 135.12 −1.54% 0 0.00% +0.00%</w:t>
        <w:br/>
        <w:t>2022-08-26 134.66 +0.34% 1 0.10% −0.44%</w:t>
        <w:br/>
        <w:t>2022-08-29 138.78 −0.36% 0 0.10% −0.10%</w:t>
        <w:br/>
        <w:t>2022-08-30 136.67 −0.35% 0 0.00% −0.00%</w:t>
        <w:br/>
        <w:t>2022-08-31 139.31 +0.31% 1 0.10% +1.83%</w:t>
        <w:br/>
        <w:t>2022-09-01 137.97 +0.46% 1 0.00% −0.96%</w:t>
        <w:br/>
        <w:t>2022-09-02 138.38 +0.82% 1 0.00% +0.29%</w:t>
        <w:br/>
        <w:t>2022-09-05 136.58 −0.21% 0 0.10% −0.10%</w:t>
        <w:br/>
        <w:t>2022-09-06 135.64 −1.12% 0 0.00% −0.00%</w:t>
        <w:br/>
        <w:t>2022-09-07 136.58 +0.26% 1 0.10% +0.59%</w:t>
        <w:br/>
        <w:t>2022-09-08 136.73 −0.14% 0 0.10% −0.10%</w:t>
        <w:br/>
        <w:t>27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