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8"/>
          <w:sz w:val="36"/>
        </w:rPr>
        <w:t>머신러닝 서비스모델 과제</w:t>
      </w:r>
    </w:p>
    <w:p/>
    <w:p>
      <w:pPr>
        <w:jc w:val="center"/>
      </w:pPr>
      <w:r>
        <w:rPr>
          <w:b/>
          <w:sz w:val="56"/>
        </w:rPr>
        <w:t>AI 개발 수행내역서</w:t>
      </w:r>
    </w:p>
    <w:p/>
    <w:p>
      <w:pPr>
        <w:jc w:val="center"/>
      </w:pPr>
      <w:r>
        <w:rPr>
          <w:b/>
          <w:sz w:val="34"/>
        </w:rPr>
        <w:t>Dubai 유가와 환율을 활용한 AI 기반</w:t>
        <w:br/>
        <w:t>소비자물가 상승률 예측모델 개발 및 시각화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담당자</w:t>
            </w:r>
          </w:p>
        </w:tc>
        <w:tc>
          <w:tcPr>
            <w:tcW w:type="dxa" w:w="510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유병현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작성일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2026년 6월 19일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AI 개발 수행내용</w:t>
      </w:r>
    </w:p>
    <w:p>
      <w:pPr>
        <w:pStyle w:val="Heading1"/>
        <w:spacing w:line="300" w:lineRule="auto" w:after="80"/>
      </w:pPr>
      <w:r>
        <w:t>1. 사업과제</w:t>
      </w:r>
    </w:p>
    <w:p>
      <w:r>
        <w:t>Dubai 유가와 환율을 활용한 AI 기반 소비자물가 상승률 예측모델 개발 및 시각화</w:t>
      </w:r>
    </w:p>
    <w:p>
      <w:pPr>
        <w:pStyle w:val="Heading1"/>
        <w:spacing w:before="160" w:after="100"/>
      </w:pPr>
      <w:r>
        <w:t>2. 개요 및 현황</w:t>
      </w:r>
    </w:p>
    <w:p>
      <w:pPr>
        <w:pStyle w:val="Heading2"/>
        <w:spacing w:before="160" w:after="100"/>
      </w:pPr>
      <w:r>
        <w:t>2.1 추진배경 및 목적</w:t>
      </w:r>
    </w:p>
    <w:p>
      <w:pPr>
        <w:pStyle w:val="ListBullet"/>
        <w:spacing w:after="40"/>
      </w:pPr>
      <w:r>
        <w:t>한국은 원유의 대부분을 수입하므로 국제유가와 환율 변화가 국내 생산·운송비와 소비자물가에 영향을 줄 수 있다.</w:t>
      </w:r>
    </w:p>
    <w:p>
      <w:pPr>
        <w:pStyle w:val="ListBullet"/>
        <w:spacing w:after="40"/>
      </w:pPr>
      <w:r>
        <w:t>원유가격 충격은 생산 및 유통 단계를 거쳐 소비자물가에 시차를 두고 반영될 가능성이 있다.</w:t>
      </w:r>
    </w:p>
    <w:p>
      <w:pPr>
        <w:pStyle w:val="ListBullet"/>
        <w:spacing w:after="40"/>
      </w:pPr>
      <w:r>
        <w:t>월별 거시경제 데이터를 이용해 다음 달 소비자물가 상승률을 예측하고 유가 정보의 추가 예측 기여를 검증한다.</w:t>
      </w:r>
    </w:p>
    <w:p>
      <w:pPr>
        <w:pStyle w:val="ListBullet"/>
        <w:spacing w:after="40"/>
      </w:pPr>
      <w:r>
        <w:t>예측 결과를 정책·기업 의사결정의 참고지표로 제시하고 Streamlit 기반 시범 서비스를 구현한다.</w:t>
      </w:r>
    </w:p>
    <w:p>
      <w:pPr>
        <w:pStyle w:val="Heading2"/>
        <w:spacing w:before="160" w:after="100"/>
      </w:pPr>
      <w:r>
        <w:t>2.2 과제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과제 구분</w:t>
            </w:r>
          </w:p>
        </w:tc>
        <w:tc>
          <w:tcPr>
            <w:tcW w:type="dxa" w:w="725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데이터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한국은행 ECOS 거시경제 지표 수집 및 월별 데이터셋 구축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전처리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가로형 자료의 세로형 변환, 환율 월평균, 결측치 점검, 파생변수 생성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분석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시계열 추이, 유가 시차별 상관관계, 변수 간 상관관계 분석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모델링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Persistence Baseline, Linear, Ridge, Random Forest, XGBoost 비교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평가</w:t>
            </w:r>
          </w:p>
        </w:tc>
        <w:tc>
          <w:tcPr>
            <w:tcW w:type="dxa" w:w="725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MAE, RMSE, R² 및 변수 제거 실험을 통한 추가 예측 기여 검증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프로토타입</w:t>
            </w:r>
          </w:p>
        </w:tc>
        <w:tc>
          <w:tcPr>
            <w:tcW w:type="dxa" w:w="725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Streamlit 기반 다음 달 소비자물가 상승률 예측 화면</w:t>
            </w:r>
          </w:p>
        </w:tc>
      </w:tr>
    </w:tbl>
    <w:p/>
    <w:p>
      <w:r>
        <w:br w:type="page"/>
      </w:r>
    </w:p>
    <w:p>
      <w:pPr>
        <w:pStyle w:val="Heading2"/>
        <w:spacing w:before="160" w:after="100"/>
      </w:pPr>
      <w:r>
        <w:t>2.3 과제 추진 방법</w:t>
      </w:r>
    </w:p>
    <w:p>
      <w:pPr>
        <w:pStyle w:val="Heading2"/>
        <w:spacing w:before="160" w:after="100"/>
      </w:pPr>
      <w:r>
        <w:t>1) 구축 대상 선정 기준</w:t>
      </w:r>
    </w:p>
    <w:p>
      <w:pPr>
        <w:pStyle w:val="ListBullet"/>
        <w:spacing w:after="40"/>
      </w:pPr>
      <w:r>
        <w:t>데이터 접근성: 한국은행 ECOS에서 장기간의 공공 통계를 동일한 기준으로 확보할 수 있는가</w:t>
      </w:r>
    </w:p>
    <w:p>
      <w:pPr>
        <w:pStyle w:val="ListBullet"/>
        <w:spacing w:after="40"/>
      </w:pPr>
      <w:r>
        <w:t>예측 가능성: 유가·환율·금리와 물가 사이의 시계열 관계를 월 단위로 구성할 수 있는가</w:t>
      </w:r>
    </w:p>
    <w:p>
      <w:pPr>
        <w:pStyle w:val="ListBullet"/>
        <w:spacing w:after="40"/>
      </w:pPr>
      <w:r>
        <w:t>모델 효율성: 제한된 표본에서도 해석 가능한 회귀모델과 비교모델을 적용할 수 있는가</w:t>
      </w:r>
    </w:p>
    <w:p>
      <w:pPr>
        <w:pStyle w:val="ListBullet"/>
        <w:spacing w:after="40"/>
      </w:pPr>
      <w:r>
        <w:t>활용성: 최신 데이터 갱신 시 다음 달 전망과 시나리오 분석으로 확장할 수 있는가</w:t>
      </w:r>
    </w:p>
    <w:p>
      <w:pPr>
        <w:pStyle w:val="Heading2"/>
        <w:spacing w:before="160" w:after="100"/>
      </w:pPr>
      <w:r>
        <w:t>2) AI 예측 분석모델 적용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변수</w:t>
            </w:r>
          </w:p>
        </w:tc>
        <w:tc>
          <w:tcPr>
            <w:tcW w:type="dxa" w:w="538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종속변수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target_cpi_yoy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다음 달 CPI 전년 동월 대비 상승률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현재 물가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cpi_yoy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현재 CPI 전년 동월 대비 상승률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oil_mom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Dubai 유가 전월 대비 변동률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 시차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oil_lag_1/2/3/6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 변동률의 1·2·3·6개월 시차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환율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fx_mom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원/달러 월평균 환율의 전월 대비 변동률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금리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base_rate</w:t>
            </w:r>
          </w:p>
        </w:tc>
        <w:tc>
          <w:tcPr>
            <w:tcW w:type="dxa" w:w="538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한국은행 기준금리</w:t>
            </w:r>
          </w:p>
        </w:tc>
      </w:tr>
    </w:tbl>
    <w:p/>
    <w:p>
      <w:pPr>
        <w:pStyle w:val="Heading2"/>
        <w:spacing w:before="160" w:after="100"/>
      </w:pPr>
      <w:r>
        <w:t>3) AI 분석모델 구축 프로세스</w:t>
      </w:r>
    </w:p>
    <w:p>
      <w:pPr>
        <w:spacing w:line="300" w:lineRule="auto" w:after="80"/>
      </w:pPr>
      <w:r>
        <w:t>DATA IMPORTING → PREPROCESSING → EDA → TIME-SERIES SPLIT → MODEL COMPARISON → AUTO PREDICTION</w:t>
      </w:r>
    </w:p>
    <w:p>
      <w:pPr>
        <w:spacing w:line="300" w:lineRule="auto" w:after="80"/>
      </w:pPr>
      <w:r>
        <w:t>ECOS 자료를 월별로 통합하고 유가 시차 변수를 생성한 뒤, 과거 구간으로 학습하고 2022~2025년을 테스트하여 모델의 일반화 성능을 비교한다.</w:t>
      </w:r>
    </w:p>
    <w:p>
      <w:r>
        <w:br w:type="page"/>
      </w:r>
    </w:p>
    <w:p>
      <w:pPr>
        <w:pStyle w:val="Heading1"/>
        <w:spacing w:before="160" w:after="100"/>
      </w:pPr>
      <w:r>
        <w:t>연구개발 주요 결과물</w:t>
      </w:r>
    </w:p>
    <w:p>
      <w:pPr>
        <w:pStyle w:val="Heading1"/>
        <w:spacing w:before="160" w:after="100"/>
      </w:pPr>
      <w:r>
        <w:t>1. 데이터 수집</w:t>
      </w:r>
    </w:p>
    <w:p>
      <w:pPr>
        <w:spacing w:line="300" w:lineRule="auto" w:after="80"/>
      </w:pPr>
      <w:r>
        <w:t>데이터 출처: 한국은행 경제통계시스템(ECOS), https://ecos.bok.or.kr</w:t>
      </w:r>
    </w:p>
    <w:p>
      <w:r>
        <w:rPr>
          <w:b/>
          <w:highlight w:val="yellow"/>
        </w:rPr>
        <w:t>[사용자 자료 삽입 필요] 한국은행 ECOS 데이터 조회 화면 또는 다운로드한 원자료 일부 캡처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주기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289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국제상품가격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원유-Dubai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2005.01~2026.05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유가 및 시차 변수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소비자물가지수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총지수(2020=100)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2005.01~2026.05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전년동월비·타깃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원/달러 환율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매매기준율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일→월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2005.01~2026.06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월평균·변동률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기준금리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한국은행 기준금리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월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2005.01~2026.05</w:t>
            </w:r>
          </w:p>
        </w:tc>
        <w:tc>
          <w:tcPr>
            <w:tcW w:type="dxa" w:w="289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보조 거시변수</w:t>
            </w:r>
          </w:p>
        </w:tc>
      </w:tr>
    </w:tbl>
    <w:p/>
    <w:p>
      <w:pPr>
        <w:pStyle w:val="Heading1"/>
        <w:spacing w:before="160" w:after="100"/>
      </w:pPr>
      <w:r>
        <w:t>2. 데이터 전처리</w:t>
      </w:r>
    </w:p>
    <w:p>
      <w:pPr>
        <w:pStyle w:val="ListBullet"/>
        <w:spacing w:after="40"/>
      </w:pPr>
      <w:r>
        <w:t>가로형 CSV에서 원자료 행만 선택하고 날짜 열을 세로형으로 변환</w:t>
      </w:r>
    </w:p>
    <w:p>
      <w:pPr>
        <w:pStyle w:val="ListBullet"/>
        <w:spacing w:after="40"/>
      </w:pPr>
      <w:r>
        <w:t>일별 원/달러 환율의 천 단위 쉼표 제거 후 월평균 계산</w:t>
      </w:r>
    </w:p>
    <w:p>
      <w:pPr>
        <w:pStyle w:val="ListBullet"/>
        <w:spacing w:after="40"/>
      </w:pPr>
      <w:r>
        <w:t>네 데이터셋을 날짜 기준으로 병합하여 257개월, 5개 기본 변수 구성</w:t>
      </w:r>
    </w:p>
    <w:p>
      <w:pPr>
        <w:pStyle w:val="ListBullet"/>
        <w:spacing w:after="40"/>
      </w:pPr>
      <w:r>
        <w:t>CPI 전년동월비, 유가·환율 전월비, 유가 1·2·3·6개월 시차 생성</w:t>
      </w:r>
    </w:p>
    <w:p>
      <w:pPr>
        <w:pStyle w:val="ListBullet"/>
        <w:spacing w:after="40"/>
      </w:pPr>
      <w:r>
        <w:t>시차 계산에서 발생한 초기 결측치만 모델링 단계에서 제거</w:t>
      </w:r>
    </w:p>
    <w:p>
      <w:pPr>
        <w:spacing w:line="300" w:lineRule="auto" w:after="80"/>
      </w:pPr>
      <w:r>
        <w:t>최종 모델링 표본은 239개월이며 학습 191개월, 테스트 48개월로 시간 순서에 따라 분리하였다.</w:t>
      </w:r>
    </w:p>
    <w:p>
      <w:r>
        <w:rPr>
          <w:b/>
          <w:highlight w:val="yellow"/>
        </w:rPr>
        <w:t>[사용자 자료 삽입 필요] model.ipynb의 통합 데이터 크기·결측치 확인 결과 화면</w:t>
      </w:r>
    </w:p>
    <w:p>
      <w:r>
        <w:br w:type="page"/>
      </w:r>
    </w:p>
    <w:p>
      <w:pPr>
        <w:pStyle w:val="Heading1"/>
        <w:spacing w:before="160" w:after="100"/>
      </w:pPr>
      <w:r>
        <w:t>3. 데이터 분석</w:t>
      </w:r>
    </w:p>
    <w:p>
      <w:pPr>
        <w:pStyle w:val="Heading2"/>
        <w:spacing w:before="160" w:after="100"/>
      </w:pPr>
      <w:r>
        <w:t>3.1 기술통계 및 시계열 추이</w:t>
      </w:r>
    </w:p>
    <w:p>
      <w:pPr>
        <w:spacing w:line="300" w:lineRule="auto" w:after="80"/>
      </w:pPr>
      <w:r>
        <w:t>2008년 금융위기, 2020년 코로나19, 2022년 원자재가격 상승기 등 실제 경제 충격을 포함한다. 이러한 극단 구간은 오류가 아닌 경제 현상이므로 제거하지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50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0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1] Dubai 유가, CPI 상승률, 환율 및 기준금리 추이</w:t>
      </w:r>
    </w:p>
    <w:p>
      <w:r>
        <w:br w:type="page"/>
      </w:r>
    </w:p>
    <w:p>
      <w:pPr>
        <w:pStyle w:val="Heading2"/>
        <w:spacing w:before="160" w:after="100"/>
      </w:pPr>
      <w:r>
        <w:t>3.2 유가 시차별 상관관계</w:t>
      </w:r>
    </w:p>
    <w:p>
      <w:pPr>
        <w:spacing w:line="300" w:lineRule="auto" w:after="80"/>
      </w:pPr>
      <w:r>
        <w:t>6개월 시차 유가 변동률과 다음 달 물가상승률의 상관계수가 약 0.19로 가장 높았다. 이는 물가 반영에 시차가 존재할 가능성을 보여주지만 상관관계만으로 인과성을 단정할 수는 없다.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76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g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2] 유가 시차별 다음 달 물가상승률 상관관계</w:t>
      </w:r>
    </w:p>
    <w:p>
      <w:pPr>
        <w:pStyle w:val="Heading2"/>
        <w:spacing w:before="160" w:after="100"/>
      </w:pPr>
      <w:r>
        <w:t>3.3 전체 변수 상관관계</w:t>
      </w:r>
    </w:p>
    <w:p>
      <w:pPr>
        <w:spacing w:line="300" w:lineRule="auto" w:after="80"/>
      </w:pPr>
      <w:r>
        <w:t>현재 물가상승률과 다음 달 상승률의 상관계수는 0.96으로 물가의 강한 자기 지속성을 보였다. 유가 시차 변수 간 상관계수는 최대 약 0.33으로 심각한 다중공선성은 확인되지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58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3] 모델 입력변수 상관관계 히트맵</w:t>
      </w:r>
    </w:p>
    <w:p>
      <w:r>
        <w:br w:type="page"/>
      </w:r>
    </w:p>
    <w:p>
      <w:pPr>
        <w:pStyle w:val="Heading1"/>
        <w:spacing w:before="160" w:after="100"/>
      </w:pPr>
      <w:r>
        <w:t>4. 데이터 학습 및 모델 정의</w:t>
      </w:r>
    </w:p>
    <w:p>
      <w:pPr>
        <w:pStyle w:val="Heading2"/>
        <w:spacing w:before="160" w:after="100"/>
      </w:pPr>
      <w:r>
        <w:t>4.1 학습·테스트 분리</w:t>
      </w:r>
    </w:p>
    <w:p>
      <w:pPr>
        <w:spacing w:line="300" w:lineRule="auto" w:after="80"/>
      </w:pPr>
      <w:r>
        <w:t>무작위 분할로 인한 미래정보 누수를 방지하기 위해 예측 대상 월을 기준으로 학습(2006.02~2021.12)과 테스트(2022.01~2025.12)를 구분하였다.</w:t>
      </w:r>
    </w:p>
    <w:p>
      <w:pPr>
        <w:pStyle w:val="Heading2"/>
        <w:spacing w:before="160" w:after="100"/>
      </w:pPr>
      <w:r>
        <w:t>4.2 기준 모델 및 후보 모델</w:t>
      </w:r>
    </w:p>
    <w:p>
      <w:pPr>
        <w:pStyle w:val="ListBullet"/>
        <w:spacing w:after="40"/>
      </w:pPr>
      <w:r>
        <w:t>Persistence Baseline: 현재 물가상승률이 다음 달에도 유지된다고 가정</w:t>
      </w:r>
    </w:p>
    <w:p>
      <w:pPr>
        <w:pStyle w:val="ListBullet"/>
        <w:spacing w:after="40"/>
      </w:pPr>
      <w:r>
        <w:t>Linear Regression: 표준화된 입력변수의 선형 관계와 해석력 활용</w:t>
      </w:r>
    </w:p>
    <w:p>
      <w:pPr>
        <w:pStyle w:val="ListBullet"/>
        <w:spacing w:after="40"/>
      </w:pPr>
      <w:r>
        <w:t>Ridge Regression: 시계열 교차검증으로 규제 강도 최적화</w:t>
      </w:r>
    </w:p>
    <w:p>
      <w:pPr>
        <w:pStyle w:val="ListBullet"/>
        <w:spacing w:after="40"/>
      </w:pPr>
      <w:r>
        <w:t>Random Forest / XGBoost: 비선형 관계와 변수 상호작용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61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4] 실제값과 지속성 기준 모델 비교</w:t>
      </w:r>
    </w:p>
    <w:p>
      <w:r>
        <w:br w:type="page"/>
      </w:r>
    </w:p>
    <w:p>
      <w:pPr>
        <w:pStyle w:val="Heading2"/>
        <w:spacing w:before="160" w:after="100"/>
      </w:pPr>
      <w:r>
        <w:t>4.3 모델 성능평가 및 최종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28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R²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Linear Regression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0.3036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0.3602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0.9278</w:t>
            </w:r>
          </w:p>
        </w:tc>
      </w:tr>
      <w:tr>
        <w:tc>
          <w:tcPr>
            <w:tcW w:type="dxa" w:w="328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Ridge Regression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0.3036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0.3602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0.9278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Persistence 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0.3098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0.3759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0.9214</w:t>
            </w:r>
          </w:p>
        </w:tc>
      </w:tr>
      <w:tr>
        <w:tc>
          <w:tcPr>
            <w:tcW w:type="dxa" w:w="328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Random Forest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0.3374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0.4248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0.8996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XGBoost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0.4138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0.5758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0.8156</w:t>
            </w:r>
          </w:p>
        </w:tc>
      </w:tr>
    </w:tbl>
    <w:p/>
    <w:p>
      <w:pPr>
        <w:spacing w:line="300" w:lineRule="auto" w:after="80"/>
      </w:pPr>
      <w:r>
        <w:t>Linear Regression은 RMSE 0.3602, R² 0.9278로 가장 우수했다. Ridge의 최적 alpha는 0.001로 일반 선형회귀와 사실상 동일했으므로 단순성과 해석 가능성을 고려해 Linear Regression을 최종 모델로 선정하였다.</w:t>
      </w:r>
    </w:p>
    <w:p>
      <w:r>
        <w:rPr>
          <w:b/>
          <w:highlight w:val="yellow"/>
        </w:rPr>
        <w:t>[사용자 자료 삽입 필요] 최종 Linear Regression 모델 정의·학습 코드 실행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95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5] 모델별 RMSE 및 R² 비교</w:t>
      </w:r>
    </w:p>
    <w:p>
      <w:pPr>
        <w:pStyle w:val="Heading2"/>
        <w:spacing w:before="160" w:after="100"/>
      </w:pPr>
      <w:r>
        <w:t>4.4 유가 변수 추가 기여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변수 구성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R²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CPI Only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0.3071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0.3722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0.9229</w:t>
            </w:r>
          </w:p>
        </w:tc>
      </w:tr>
      <w:tr>
        <w:tc>
          <w:tcPr>
            <w:tcW w:type="dxa" w:w="39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CPI + FX + Rate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0.3140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0.3818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0.9189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Full Model (+ Oil)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0.3036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0.3602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7"/>
              </w:rPr>
              <w:t>0.9278</w:t>
            </w:r>
          </w:p>
        </w:tc>
      </w:tr>
    </w:tbl>
    <w:p/>
    <w:p>
      <w:pPr>
        <w:spacing w:line="300" w:lineRule="auto" w:after="80"/>
      </w:pPr>
      <w:r>
        <w:t>유가 변수를 포함한 Full Model은 유가 제외 모델보다 RMSE를 약 5.6% 줄였다. 따라서 유가 정보가 현재 CPI의 자기 지속성 외에 소폭의 추가 예측 정보를 제공한 것으로 판단하였다.</w:t>
      </w:r>
    </w:p>
    <w:p>
      <w:r>
        <w:br w:type="page"/>
      </w:r>
    </w:p>
    <w:p>
      <w:pPr>
        <w:pStyle w:val="Heading1"/>
        <w:spacing w:before="160" w:after="100"/>
      </w:pPr>
      <w:r>
        <w:t>5. 최종 모델 예측 및 해석</w:t>
      </w:r>
    </w:p>
    <w:p>
      <w:pPr>
        <w:pStyle w:val="Heading2"/>
        <w:spacing w:before="160" w:after="100"/>
      </w:pPr>
      <w:r>
        <w:t>5.1 실제값과 예측값</w:t>
      </w:r>
    </w:p>
    <w:p>
      <w:pPr>
        <w:spacing w:line="300" w:lineRule="auto" w:after="80"/>
      </w:pPr>
      <w:r>
        <w:t>최종 모델은 전반적인 물가 흐름을 추종했으나 급등 초기에는 상승 폭을 과소 예측하고 전환점에서는 실제 변화보다 늦게 반응하는 경향을 보였다.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017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diction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6] Linear Regression 예측 및 잔차</w:t>
      </w:r>
    </w:p>
    <w:p>
      <w:pPr>
        <w:pStyle w:val="Heading2"/>
        <w:spacing w:before="160" w:after="100"/>
      </w:pPr>
      <w:r>
        <w:t>5.2 표준화 회귀계수</w:t>
      </w:r>
    </w:p>
    <w:p>
      <w:pPr>
        <w:spacing w:line="300" w:lineRule="auto" w:after="80"/>
      </w:pPr>
      <w:r>
        <w:t>현재 물가상승률의 계수가 가장 컸으며 유가 변수 중에서는 당월 변동률과 6개월 시차 변동률의 기여가 상대적으로 높았다. 계수는 예측 관계이며 직접적인 인과효과가 아니다.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140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effic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1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7] 표준화 선형회귀 계수</w:t>
      </w:r>
    </w:p>
    <w:p>
      <w:r>
        <w:br w:type="page"/>
      </w:r>
    </w:p>
    <w:p>
      <w:pPr>
        <w:pStyle w:val="Heading1"/>
        <w:spacing w:before="160" w:after="100"/>
      </w:pPr>
      <w:r>
        <w:t>6. 프로토타이핑(화면)</w:t>
      </w:r>
    </w:p>
    <w:p>
      <w:pPr>
        <w:pStyle w:val="Heading2"/>
        <w:spacing w:before="160" w:after="100"/>
      </w:pPr>
      <w:r>
        <w:t>6.1 Streamlit 기반 다음 달 물가 예측</w:t>
      </w:r>
    </w:p>
    <w:p>
      <w:pPr>
        <w:pStyle w:val="ListBullet"/>
        <w:spacing w:after="40"/>
      </w:pPr>
      <w:r>
        <w:t>최신 CPI 상승률, Dubai 유가 변동률, 환율 변동률 및 기준금리 입력</w:t>
      </w:r>
    </w:p>
    <w:p>
      <w:pPr>
        <w:pStyle w:val="ListBullet"/>
        <w:spacing w:after="40"/>
      </w:pPr>
      <w:r>
        <w:t>유가 1·2·3·6개월 시차는 최신 관측값을 자동 적용</w:t>
      </w:r>
    </w:p>
    <w:p>
      <w:pPr>
        <w:pStyle w:val="ListBullet"/>
        <w:spacing w:after="40"/>
      </w:pPr>
      <w:r>
        <w:t>예측 대상 월과 예상 CPI 상승률, 최종 모델 R² 표시</w:t>
      </w:r>
    </w:p>
    <w:p>
      <w:pPr>
        <w:pStyle w:val="ListBullet"/>
        <w:spacing w:after="40"/>
      </w:pPr>
      <w:r>
        <w:t>소비자물가 상승률 및 Dubai 유가의 장기 추이 제공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[그림 8] 소비자물가 상승률 예측 프로토타입</w:t>
      </w:r>
    </w:p>
    <w:p>
      <w:pPr>
        <w:spacing w:line="300" w:lineRule="auto" w:after="80"/>
      </w:pPr>
      <w:r>
        <w:t>2026년 5월까지의 최신 정보를 입력한 결과 2026년 6월 CPI 전년 동월 대비 상승률은 3.28%로 예측되었다. 이는 미래 예측치이며 테스트 성능평가 결과와 구분한다.</w:t>
      </w:r>
    </w:p>
    <w:p>
      <w:r>
        <w:br w:type="page"/>
      </w:r>
    </w:p>
    <w:p>
      <w:pPr>
        <w:pStyle w:val="Heading1"/>
        <w:spacing w:before="160" w:after="100"/>
      </w:pPr>
      <w:r>
        <w:t>7. 결론 및 향후 계획</w:t>
      </w:r>
    </w:p>
    <w:p>
      <w:pPr>
        <w:pStyle w:val="Heading2"/>
        <w:spacing w:before="160" w:after="100"/>
      </w:pPr>
      <w:r>
        <w:t>7.1 모델 개발 결과</w:t>
      </w:r>
    </w:p>
    <w:p>
      <w:pPr>
        <w:pStyle w:val="ListBullet"/>
        <w:spacing w:after="40"/>
      </w:pPr>
      <w:r>
        <w:t>현재 CPI 상승률이 다음 달 물가를 예측하는 가장 중요한 변수로 확인되었다.</w:t>
      </w:r>
    </w:p>
    <w:p>
      <w:pPr>
        <w:pStyle w:val="ListBullet"/>
        <w:spacing w:after="40"/>
      </w:pPr>
      <w:r>
        <w:t>Dubai 유가의 당월 변동률과 6개월 시차 변동률이 보조적인 예측 정보를 제공하였다.</w:t>
      </w:r>
    </w:p>
    <w:p>
      <w:pPr>
        <w:pStyle w:val="ListBullet"/>
        <w:spacing w:after="40"/>
      </w:pPr>
      <w:r>
        <w:t>Linear Regression이 MAE 0.3036, RMSE 0.3602, R² 0.9278로 가장 우수했다.</w:t>
      </w:r>
    </w:p>
    <w:p>
      <w:pPr>
        <w:pStyle w:val="ListBullet"/>
        <w:spacing w:after="40"/>
      </w:pPr>
      <w:r>
        <w:t>유가 변수를 추가했을 때 유가 제외 모델보다 RMSE가 약 5.6% 개선되었다.</w:t>
      </w:r>
    </w:p>
    <w:p>
      <w:pPr>
        <w:pStyle w:val="Heading2"/>
        <w:spacing w:before="160" w:after="100"/>
      </w:pPr>
      <w:r>
        <w:t>7.2 한계</w:t>
      </w:r>
    </w:p>
    <w:p>
      <w:pPr>
        <w:pStyle w:val="ListBullet"/>
        <w:spacing w:after="40"/>
      </w:pPr>
      <w:r>
        <w:t>월별 표본이 제한적이며 금융위기·감염병·지정학적 충격 등 구조 변화가 포함되어 있다.</w:t>
      </w:r>
    </w:p>
    <w:p>
      <w:pPr>
        <w:pStyle w:val="ListBullet"/>
        <w:spacing w:after="40"/>
      </w:pPr>
      <w:r>
        <w:t>임금, 수요, 공급망, 재정정책, 기대인플레이션 등 다른 물가 요인을 포함하지 못했다.</w:t>
      </w:r>
    </w:p>
    <w:p>
      <w:pPr>
        <w:pStyle w:val="ListBullet"/>
        <w:spacing w:after="40"/>
      </w:pPr>
      <w:r>
        <w:t>현재 CPI의 자기 지속성이 예측력의 대부분을 차지하며 유가·환율의 개선 폭은 크지 않다.</w:t>
      </w:r>
    </w:p>
    <w:p>
      <w:pPr>
        <w:pStyle w:val="ListBullet"/>
        <w:spacing w:after="40"/>
      </w:pPr>
      <w:r>
        <w:t>상관관계와 회귀계수는 유가의 직접적인 인과효과를 의미하지 않는다.</w:t>
      </w:r>
    </w:p>
    <w:p>
      <w:pPr>
        <w:pStyle w:val="Heading2"/>
        <w:spacing w:before="160" w:after="100"/>
      </w:pPr>
      <w:r>
        <w:t>7.3 향후 개선 방향</w:t>
      </w:r>
    </w:p>
    <w:p>
      <w:pPr>
        <w:pStyle w:val="ListBullet"/>
        <w:spacing w:after="40"/>
      </w:pPr>
      <w:r>
        <w:t>수입물가지수, 생산자물가지수, 임금 및 기대인플레이션 변수 추가</w:t>
      </w:r>
    </w:p>
    <w:p>
      <w:pPr>
        <w:pStyle w:val="ListBullet"/>
        <w:spacing w:after="40"/>
      </w:pPr>
      <w:r>
        <w:t>원화 환산 유가 변동률과 유가·환율 상호작용 검토</w:t>
      </w:r>
    </w:p>
    <w:p>
      <w:pPr>
        <w:pStyle w:val="ListBullet"/>
        <w:spacing w:after="40"/>
      </w:pPr>
      <w:r>
        <w:t>롤링 윈도우 재학습 및 구조 변화 탐지</w:t>
      </w:r>
    </w:p>
    <w:p>
      <w:pPr>
        <w:pStyle w:val="ListBullet"/>
        <w:spacing w:after="40"/>
      </w:pPr>
      <w:r>
        <w:t>ECOS API 기반 월별 자동 수집·재학습 파이프라인 구축</w:t>
      </w:r>
    </w:p>
    <w:p>
      <w:pPr>
        <w:pStyle w:val="Heading2"/>
        <w:spacing w:before="160" w:after="100"/>
      </w:pPr>
      <w:r>
        <w:t>참고자료</w:t>
      </w:r>
    </w:p>
    <w:p>
      <w:pPr>
        <w:spacing w:line="300" w:lineRule="auto" w:after="80"/>
      </w:pPr>
      <w:r>
        <w:t>한국은행 경제통계시스템(ECOS), 소비자물가지수·국제상품가격·환율·기준금리 통계</w:t>
      </w:r>
    </w:p>
    <w:p>
      <w:pPr>
        <w:spacing w:line="300" w:lineRule="auto" w:after="80"/>
      </w:pPr>
      <w:r>
        <w:t>U.S. Energy Information Administration, South Korea Country Analysis Brief</w:t>
      </w:r>
    </w:p>
    <w:p>
      <w:pPr>
        <w:spacing w:line="300" w:lineRule="auto" w:after="80"/>
      </w:pPr>
      <w:r>
        <w:t>GS칼텍스 미디어허브, 국제유가와 중동·아시아 원유시장 분석</w:t>
      </w:r>
    </w:p>
    <w:sectPr w:rsidR="00FC693F" w:rsidRPr="0006063C" w:rsidSect="00034616">
      <w:headerReference w:type="default" r:id="rId17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