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88" w:lineRule="auto"/>
        <w:jc w:val="center"/>
      </w:pPr>
      <w:r>
        <w:rPr>
          <w:rFonts w:ascii="Times New Roman" w:hAnsi="Times New Roman" w:eastAsia="黑体"/>
          <w:b/>
          <w:sz w:val="34"/>
        </w:rPr>
        <w:t>全图 + 分块双通道混合推理方案说明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微藻显微图像识别与计数任务 · 推理阶段策略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一、问题</w:t>
      </w:r>
    </w:p>
    <w:p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计数腔室图像分辨率为 1224×1024，单个微藻直径仅十余至数十像素。模型训练 </w:t>
      </w:r>
      <w:r>
        <w:rPr>
          <w:rFonts w:ascii="Times New Roman" w:hAnsi="Times New Roman" w:eastAsia="Consolas"/>
          <w:b w:val="0"/>
          <w:color w:val="185FA5"/>
          <w:sz w:val="21"/>
        </w:rPr>
        <w:t>imgsz</w:t>
      </w:r>
      <w:r>
        <w:rPr>
          <w:rFonts w:ascii="Times New Roman" w:hAnsi="Times New Roman" w:eastAsia="宋体"/>
          <w:b w:val="0"/>
          <w:sz w:val="21"/>
        </w:rPr>
        <w:t xml:space="preserve"> 为 896 / 1024，推理阶段降至 640，整图直接送入时等效缩放系数仅约 0.52——微藻被压缩近一半，边缘与纹理在重采样中丢失，密集样本下表现为漏检与相邻个体粘连。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二、核心思路：以分块换取等效放大</w:t>
      </w:r>
    </w:p>
    <w:p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不对整图缩放，而是将原图切分为若干保持原分辨率的子块（tile），每块单独缩放至 </w:t>
      </w:r>
      <w:r>
        <w:rPr>
          <w:rFonts w:ascii="Times New Roman" w:hAnsi="Times New Roman" w:eastAsia="Consolas"/>
          <w:b w:val="0"/>
          <w:color w:val="185FA5"/>
          <w:sz w:val="21"/>
        </w:rPr>
        <w:t>imgsz</w:t>
      </w:r>
      <w:r>
        <w:rPr>
          <w:rFonts w:ascii="Times New Roman" w:hAnsi="Times New Roman" w:eastAsia="宋体"/>
          <w:b w:val="0"/>
          <w:sz w:val="21"/>
        </w:rPr>
        <w:t xml:space="preserve"> 后送入模型。子块越小，等效放大倍率越高。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shd w:val="clear" w:fill="F1EFE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通道</w:t>
            </w:r>
          </w:p>
        </w:tc>
        <w:tc>
          <w:tcPr>
            <w:tcW w:type="dxa" w:w="2494"/>
            <w:shd w:val="clear" w:fill="F1EFE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送入模型的区域</w:t>
            </w:r>
          </w:p>
        </w:tc>
        <w:tc>
          <w:tcPr>
            <w:tcW w:type="dxa" w:w="1701"/>
            <w:shd w:val="clear" w:fill="F1EFE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有效尺度</w:t>
            </w:r>
          </w:p>
        </w:tc>
        <w:tc>
          <w:tcPr>
            <w:tcW w:type="dxa" w:w="1928"/>
            <w:shd w:val="clear" w:fill="F1EFE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相对全图放大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全图通道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1224×1024 整图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0.52×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1.00×（基准）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分块 1024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1024×1024 子块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0.625×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1.20×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分块 512</w:t>
            </w:r>
          </w:p>
        </w:tc>
        <w:tc>
          <w:tcPr>
            <w:tcW w:type="dxa" w:w="2494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512×512 子块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1.25×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2.40×</w:t>
            </w:r>
          </w:p>
        </w:tc>
      </w:tr>
    </w:tbl>
    <w:p>
      <w:pPr>
        <w:spacing w:after="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有效尺度 = </w:t>
      </w:r>
      <w:r>
        <w:rPr>
          <w:rFonts w:ascii="Times New Roman" w:hAnsi="Times New Roman" w:eastAsia="Consolas"/>
          <w:b w:val="0"/>
          <w:color w:val="185FA5"/>
          <w:sz w:val="21"/>
        </w:rPr>
        <w:t>imgsz / max(H, W)</w:t>
      </w:r>
      <w:r>
        <w:rPr>
          <w:rFonts w:ascii="Times New Roman" w:hAnsi="Times New Roman" w:eastAsia="宋体"/>
          <w:b w:val="0"/>
          <w:sz w:val="21"/>
        </w:rPr>
        <w:t xml:space="preserve">。采用 512 分块时，微藻在模型输入中的尺寸比全图通道大 2.4 倍——这正是将 </w:t>
      </w:r>
      <w:r>
        <w:rPr>
          <w:rFonts w:ascii="Times New Roman" w:hAnsi="Times New Roman" w:eastAsia="Consolas"/>
          <w:b w:val="0"/>
          <w:color w:val="185FA5"/>
          <w:sz w:val="21"/>
        </w:rPr>
        <w:t>TILE_SIZE</w:t>
      </w:r>
      <w:r>
        <w:rPr>
          <w:rFonts w:ascii="Times New Roman" w:hAnsi="Times New Roman" w:eastAsia="宋体"/>
          <w:b w:val="0"/>
          <w:sz w:val="21"/>
        </w:rPr>
        <w:t xml:space="preserve"> 由 1024 下调至 512 的原因。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三、为何保留全图通道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分块会引入两个副作用，须由全图通道补偿：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目标被切碎。跨块边界的大个体或成团个体在任一子块内仅呈局部，模型难以识别；全图通道保留全局上下文，可完整捕获。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分块可能整体失败。显存溢出或个别子块异常时结果为空，全图通道提供兜底。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两者互补，最终结果取并集，而非二选一。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四、流程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预处理 → 全图通道 ＋ 分块通道 → 合并去重 → 后处理 → 实例集合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预处理：LAB 色彩空间 CLAHE 对比度增强 + 非锐化掩蔽锐化，强化微藻边缘。</w:t>
      </w:r>
    </w:p>
    <w:p>
      <w:pPr>
        <w:spacing w:after="60" w:line="360" w:lineRule="auto"/>
        <w:ind w:left="420" w:hanging="300"/>
      </w:pPr>
      <w:r>
        <w:t xml:space="preserve">· </w:t>
      </w:r>
      <w:r>
        <w:rPr>
          <w:rFonts w:ascii="Times New Roman" w:hAnsi="Times New Roman" w:eastAsia="宋体"/>
          <w:b w:val="0"/>
          <w:sz w:val="21"/>
        </w:rPr>
        <w:t>全图通道：整图推理（</w:t>
      </w:r>
      <w:r>
        <w:rPr>
          <w:rFonts w:ascii="Times New Roman" w:hAnsi="Times New Roman" w:eastAsia="Consolas"/>
          <w:b w:val="0"/>
          <w:color w:val="185FA5"/>
          <w:sz w:val="21"/>
        </w:rPr>
        <w:t>imgsz 640，max_det 700</w:t>
      </w:r>
      <w:r>
        <w:rPr>
          <w:rFonts w:ascii="Times New Roman" w:hAnsi="Times New Roman" w:eastAsia="宋体"/>
          <w:b w:val="0"/>
          <w:sz w:val="21"/>
        </w:rPr>
        <w:t>），得实例集合 A。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分块通道：滑窗切分（步长 = tile_size − overlap；512 / 192 配置下切成 4×3 = 12 块，末尾强制补贴边窗口以防边缘漏检）→ 逐块推理 → 坐标偏移回映射，得集合 B。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其余步骤见下节与第六节。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五、合并去重（关键步骤）</w:t>
      </w:r>
    </w:p>
    <w:p>
      <w:pPr>
        <w:spacing w:after="6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重叠区会使同一微藻被相邻子块重复检出。此处不采用常规包围盒 NMS，而使用掩码级合并：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按置信度降序取基准实例；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包围盒 IoU 预筛后计算掩码级 mask-IoU，≥ 0.60 即合并：包围盒取并集、掩码取逻辑或、置信度取均值；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每次合并后重置扫描索引，支持链式合并；判定为类别无关，避免同类个体被拆分。</w:t>
      </w:r>
    </w:p>
    <w:p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要点：微藻形态不规则且密集毗邻，包围盒重叠率高但掩码并不重合。若以包围盒 IoU 判据合并，会把相邻的不同个体错误合成一个；只有掩码 IoU 能准确判定是否为同一实例。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六、与 SAHI 的关系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思路与通用切片推理库 SAHI（Slicing Aided Hyper Inference）一致，但本项目未引入该依赖，为自研实现。原因：需在标准切片流程之外接入掩码级合并、计数腔室空间约束、掩码形态精修、贴边窗口补齐等任务专属环节。</w:t>
      </w:r>
    </w:p>
    <w:p>
      <w:pPr>
        <w:spacing w:before="240" w:after="100" w:line="300" w:lineRule="auto"/>
      </w:pPr>
      <w:r>
        <w:rPr>
          <w:rFonts w:ascii="Times New Roman" w:hAnsi="Times New Roman" w:eastAsia="黑体"/>
          <w:b/>
          <w:sz w:val="24"/>
        </w:rPr>
        <w:t>七、需注意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分块配置不可混用。1024 / 256 与 512 / 192 的放大倍率相差 2 倍，计数结果不具直接可比性，对比实验须固定配置。</w:t>
      </w:r>
    </w:p>
    <w:p>
      <w:pPr>
        <w:spacing w:after="60" w:line="360" w:lineRule="auto"/>
        <w:ind w:left="420" w:hanging="300"/>
      </w:pPr>
      <w:r>
        <w:rPr>
          <w:rFonts w:ascii="Times New Roman" w:hAnsi="Times New Roman" w:eastAsia="宋体"/>
          <w:b w:val="0"/>
          <w:sz w:val="21"/>
        </w:rPr>
        <w:t>· 合并步骤为朴素两两比较，复杂度 O(n²)，在数千实例的极密集图上耗时明显；后续可按空间网格分桶，仅在相邻桶内比较。</w:t>
      </w:r>
    </w:p>
    <w:sectPr w:rsidR="00FC693F" w:rsidRPr="0006063C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