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FA6672">
      <w:pPr>
        <w:ind w:left="720"/>
      </w:pPr>
      <w:r>
        <w:t>CONCLUSIÓN: si estos cambios mejoran o empeoran la precisión muy ligeramente, es prácticamente imposible detectarlo.</w:t>
      </w:r>
    </w:p>
    <w:p w14:paraId="1159A7D4" w14:textId="66EB2545" w:rsidR="003226CD" w:rsidRPr="00EE0A07" w:rsidRDefault="00EE0A07" w:rsidP="00EE0A07">
      <w:pPr>
        <w:pStyle w:val="Prrafodelista"/>
        <w:numPr>
          <w:ilvl w:val="0"/>
          <w:numId w:val="2"/>
        </w:numPr>
      </w:pPr>
      <w:r>
        <w:t xml:space="preserve">Se ha probado a transformar la variable CADASTRALQUALITY de tipo categórica a </w:t>
      </w:r>
      <w:proofErr w:type="spellStart"/>
      <w:r>
        <w:t>one-hot</w:t>
      </w:r>
      <w:proofErr w:type="spellEnd"/>
      <w:r>
        <w:t>. Para ello se ha el</w:t>
      </w:r>
      <w:bookmarkStart w:id="0" w:name="_GoBack"/>
      <w:bookmarkEnd w:id="0"/>
      <w:r>
        <w:t xml:space="preserve">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 20 iteraciones con este cambio y los dos anteriores. Dicho fichero es muy similar al de la entrega de la fase </w:t>
      </w:r>
      <w:proofErr w:type="gramStart"/>
      <w:r>
        <w:t>I</w:t>
      </w:r>
      <w:proofErr w:type="gramEnd"/>
      <w:r>
        <w:t xml:space="preserve"> aunque contiene menos muestras predichas a la clase RESIDENTIAL. </w:t>
      </w:r>
      <w:r w:rsidRPr="00EE0A07">
        <w:rPr>
          <w:i/>
          <w:iCs/>
        </w:rPr>
        <w:t>(probar a 50 iteraciones para asegurar semejanza)</w:t>
      </w:r>
    </w:p>
    <w:sectPr w:rsidR="003226CD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476325"/>
    <w:rsid w:val="00AF57D6"/>
    <w:rsid w:val="00B56652"/>
    <w:rsid w:val="00CB20D4"/>
    <w:rsid w:val="00EE0A07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3</cp:revision>
  <dcterms:created xsi:type="dcterms:W3CDTF">2020-04-07T19:55:00Z</dcterms:created>
  <dcterms:modified xsi:type="dcterms:W3CDTF">2020-04-08T10:42:00Z</dcterms:modified>
</cp:coreProperties>
</file>