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7DD92" w14:textId="77777777" w:rsidR="00DA1303" w:rsidRPr="00E2191E" w:rsidRDefault="001E7F7C">
      <w:pPr>
        <w:spacing w:before="2400" w:after="120"/>
        <w:jc w:val="center"/>
        <w:rPr>
          <w:lang w:val="nl-NL"/>
        </w:rPr>
      </w:pPr>
      <w:r w:rsidRPr="00E2191E">
        <w:rPr>
          <w:b/>
          <w:bCs/>
          <w:sz w:val="56"/>
          <w:szCs w:val="56"/>
          <w:lang w:val="nl-NL"/>
        </w:rPr>
        <w:t>Auditrapport</w:t>
      </w:r>
    </w:p>
    <w:p w14:paraId="689BCE9A" w14:textId="77777777" w:rsidR="00DA1303" w:rsidRPr="00E2191E" w:rsidRDefault="001E7F7C">
      <w:pPr>
        <w:spacing w:after="360"/>
        <w:jc w:val="center"/>
        <w:rPr>
          <w:lang w:val="nl-NL"/>
        </w:rPr>
      </w:pPr>
      <w:r w:rsidRPr="00E2191E">
        <w:rPr>
          <w:color w:val="595959"/>
          <w:sz w:val="32"/>
          <w:szCs w:val="32"/>
          <w:lang w:val="nl-NL"/>
        </w:rPr>
        <w:t>Security- en onderhoudbaarheidsaudit</w:t>
      </w:r>
    </w:p>
    <w:p w14:paraId="3C51DC5D" w14:textId="77777777" w:rsidR="00DA1303" w:rsidRPr="00E2191E" w:rsidRDefault="001E7F7C">
      <w:pPr>
        <w:spacing w:after="120"/>
        <w:jc w:val="center"/>
        <w:rPr>
          <w:lang w:val="nl-NL"/>
        </w:rPr>
      </w:pPr>
      <w:r w:rsidRPr="00E2191E">
        <w:rPr>
          <w:b/>
          <w:bCs/>
          <w:sz w:val="28"/>
          <w:szCs w:val="28"/>
          <w:lang w:val="nl-NL"/>
        </w:rPr>
        <w:t>OpenMRS Legacy UI Module v1.20.0</w:t>
      </w:r>
    </w:p>
    <w:p w14:paraId="2B7FB447" w14:textId="77777777" w:rsidR="00DA1303" w:rsidRPr="00E2191E" w:rsidRDefault="001E7F7C">
      <w:pPr>
        <w:spacing w:after="1200"/>
        <w:jc w:val="center"/>
        <w:rPr>
          <w:lang w:val="nl-NL"/>
        </w:rPr>
      </w:pPr>
      <w:r w:rsidRPr="00E2191E">
        <w:rPr>
          <w:color w:val="595959"/>
          <w:sz w:val="24"/>
          <w:szCs w:val="24"/>
          <w:lang w:val="nl-NL"/>
        </w:rPr>
        <w:t>Normenkader: NEN-7510:2024-2 · CRA</w:t>
      </w:r>
    </w:p>
    <w:p w14:paraId="08A30578" w14:textId="0A31133A" w:rsidR="00E2191E" w:rsidRPr="00E2191E" w:rsidRDefault="00E2191E" w:rsidP="00E2191E">
      <w:pPr>
        <w:spacing w:after="80"/>
        <w:jc w:val="center"/>
        <w:rPr>
          <w:sz w:val="24"/>
          <w:szCs w:val="24"/>
          <w:lang w:val="nl-NL"/>
        </w:rPr>
      </w:pPr>
      <w:r w:rsidRPr="00E2191E">
        <w:rPr>
          <w:sz w:val="24"/>
          <w:szCs w:val="24"/>
          <w:lang w:val="nl-NL"/>
        </w:rPr>
        <w:t>ATIx IN-B2.4 Softwarearchitectuur &amp; -kwaliteit 2025-26 P4</w:t>
      </w:r>
    </w:p>
    <w:p w14:paraId="125BD1AF" w14:textId="57B76621" w:rsidR="00DA1303" w:rsidRPr="00E2191E" w:rsidRDefault="001E7F7C" w:rsidP="00E2191E">
      <w:pPr>
        <w:spacing w:after="80"/>
        <w:jc w:val="center"/>
        <w:rPr>
          <w:lang w:val="nl-NL"/>
        </w:rPr>
      </w:pPr>
      <w:r w:rsidRPr="00E2191E">
        <w:rPr>
          <w:sz w:val="24"/>
          <w:szCs w:val="24"/>
          <w:lang w:val="nl-NL"/>
        </w:rPr>
        <w:t xml:space="preserve">Team: Serino </w:t>
      </w:r>
      <w:r w:rsidR="00E2191E" w:rsidRPr="00E2191E">
        <w:rPr>
          <w:sz w:val="24"/>
          <w:szCs w:val="24"/>
          <w:lang w:val="nl-NL"/>
        </w:rPr>
        <w:t>&amp;</w:t>
      </w:r>
      <w:r w:rsidRPr="00E2191E">
        <w:rPr>
          <w:sz w:val="24"/>
          <w:szCs w:val="24"/>
          <w:lang w:val="nl-NL"/>
        </w:rPr>
        <w:t xml:space="preserve"> Maurits</w:t>
      </w:r>
      <w:r w:rsidRPr="00E2191E">
        <w:rPr>
          <w:lang w:val="nl-NL"/>
        </w:rPr>
        <w:br w:type="page"/>
      </w:r>
    </w:p>
    <w:p w14:paraId="2B3B6A00" w14:textId="77777777" w:rsidR="00DA1303" w:rsidRPr="00E2191E" w:rsidRDefault="001E7F7C">
      <w:pPr>
        <w:rPr>
          <w:lang w:val="nl-NL"/>
        </w:rPr>
      </w:pPr>
      <w:r w:rsidRPr="00E2191E">
        <w:rPr>
          <w:lang w:val="nl-NL"/>
        </w:rPr>
        <w:br w:type="page"/>
      </w:r>
    </w:p>
    <w:p w14:paraId="215E4FB4" w14:textId="77777777" w:rsidR="00DA1303" w:rsidRPr="00E2191E" w:rsidRDefault="001E7F7C">
      <w:pPr>
        <w:pStyle w:val="Kop1"/>
        <w:rPr>
          <w:lang w:val="nl-NL"/>
        </w:rPr>
      </w:pPr>
      <w:bookmarkStart w:id="1" w:name="_Toc231398324"/>
      <w:r w:rsidRPr="00E2191E">
        <w:rPr>
          <w:lang w:val="nl-NL"/>
        </w:rPr>
        <w:lastRenderedPageBreak/>
        <w:t>Inhoudsopgave</w:t>
      </w:r>
      <w:bookmarkEnd w:id="1"/>
    </w:p>
    <w:sdt>
      <w:sdtPr>
        <w:rPr>
          <w:lang w:val="nl-NL"/>
        </w:rPr>
        <w:alias w:val="Inhoudsopgave"/>
        <w:id w:val="1820760942"/>
      </w:sdtPr>
      <w:sdtEndPr/>
      <w:sdtContent>
        <w:p w14:paraId="3A246DBB" w14:textId="77777777" w:rsidR="00E2191E" w:rsidRPr="00E2191E" w:rsidRDefault="001E7F7C">
          <w:pPr>
            <w:pStyle w:val="Inhopg1"/>
            <w:tabs>
              <w:tab w:val="right" w:leader="dot" w:pos="9350"/>
            </w:tabs>
            <w:rPr>
              <w:noProof/>
              <w:lang w:val="nl-NL"/>
            </w:rPr>
          </w:pPr>
          <w:r w:rsidRPr="00E2191E">
            <w:rPr>
              <w:lang w:val="nl-NL"/>
            </w:rPr>
            <w:fldChar w:fldCharType="begin"/>
          </w:r>
          <w:r w:rsidRPr="00E2191E">
            <w:rPr>
              <w:lang w:val="nl-NL"/>
            </w:rPr>
            <w:instrText>TOC \h \o "1-2"</w:instrText>
          </w:r>
          <w:r w:rsidRPr="00E2191E">
            <w:rPr>
              <w:lang w:val="nl-NL"/>
            </w:rPr>
            <w:fldChar w:fldCharType="separate"/>
          </w:r>
          <w:hyperlink w:anchor="_Toc231398323" w:history="1">
            <w:r w:rsidR="00E2191E" w:rsidRPr="00E2191E">
              <w:rPr>
                <w:rStyle w:val="Hyperlink"/>
                <w:noProof/>
                <w:lang w:val="nl-NL"/>
              </w:rPr>
              <w:t>Over dit skelet</w:t>
            </w:r>
            <w:r w:rsidR="00E2191E" w:rsidRPr="00E2191E">
              <w:rPr>
                <w:noProof/>
                <w:lang w:val="nl-NL"/>
              </w:rPr>
              <w:tab/>
            </w:r>
            <w:r w:rsidR="00E2191E" w:rsidRPr="00E2191E">
              <w:rPr>
                <w:noProof/>
                <w:lang w:val="nl-NL"/>
              </w:rPr>
              <w:fldChar w:fldCharType="begin"/>
            </w:r>
            <w:r w:rsidR="00E2191E" w:rsidRPr="00E2191E">
              <w:rPr>
                <w:noProof/>
                <w:lang w:val="nl-NL"/>
              </w:rPr>
              <w:instrText xml:space="preserve"> PAGEREF _Toc231398323 \h </w:instrText>
            </w:r>
            <w:r w:rsidR="00E2191E" w:rsidRPr="00E2191E">
              <w:rPr>
                <w:noProof/>
                <w:lang w:val="nl-NL"/>
              </w:rPr>
            </w:r>
            <w:r w:rsidR="00E2191E" w:rsidRPr="00E2191E">
              <w:rPr>
                <w:noProof/>
                <w:lang w:val="nl-NL"/>
              </w:rPr>
              <w:fldChar w:fldCharType="separate"/>
            </w:r>
            <w:r w:rsidR="00E2191E" w:rsidRPr="00E2191E">
              <w:rPr>
                <w:noProof/>
                <w:lang w:val="nl-NL"/>
              </w:rPr>
              <w:t>1</w:t>
            </w:r>
            <w:r w:rsidR="00E2191E" w:rsidRPr="00E2191E">
              <w:rPr>
                <w:noProof/>
                <w:lang w:val="nl-NL"/>
              </w:rPr>
              <w:fldChar w:fldCharType="end"/>
            </w:r>
          </w:hyperlink>
        </w:p>
        <w:p w14:paraId="22926166" w14:textId="77777777" w:rsidR="00E2191E" w:rsidRPr="00E2191E" w:rsidRDefault="00E2191E">
          <w:pPr>
            <w:pStyle w:val="Inhopg1"/>
            <w:tabs>
              <w:tab w:val="right" w:leader="dot" w:pos="9350"/>
            </w:tabs>
            <w:rPr>
              <w:noProof/>
              <w:lang w:val="nl-NL"/>
            </w:rPr>
          </w:pPr>
          <w:hyperlink w:anchor="_Toc231398324" w:history="1">
            <w:r w:rsidRPr="00E2191E">
              <w:rPr>
                <w:rStyle w:val="Hyperlink"/>
                <w:noProof/>
                <w:lang w:val="nl-NL"/>
              </w:rPr>
              <w:t>Inhoudsopgave</w:t>
            </w:r>
            <w:r w:rsidRPr="00E2191E">
              <w:rPr>
                <w:noProof/>
                <w:lang w:val="nl-NL"/>
              </w:rPr>
              <w:tab/>
            </w:r>
            <w:r w:rsidRPr="00E2191E">
              <w:rPr>
                <w:noProof/>
                <w:lang w:val="nl-NL"/>
              </w:rPr>
              <w:fldChar w:fldCharType="begin"/>
            </w:r>
            <w:r w:rsidRPr="00E2191E">
              <w:rPr>
                <w:noProof/>
                <w:lang w:val="nl-NL"/>
              </w:rPr>
              <w:instrText xml:space="preserve"> PAGEREF _Toc231398324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64AF3DF3" w14:textId="77777777" w:rsidR="00E2191E" w:rsidRPr="00E2191E" w:rsidRDefault="00E2191E">
          <w:pPr>
            <w:pStyle w:val="Inhopg1"/>
            <w:tabs>
              <w:tab w:val="right" w:leader="dot" w:pos="9350"/>
            </w:tabs>
            <w:rPr>
              <w:noProof/>
              <w:lang w:val="nl-NL"/>
            </w:rPr>
          </w:pPr>
          <w:hyperlink w:anchor="_Toc231398325" w:history="1">
            <w:r w:rsidRPr="00E2191E">
              <w:rPr>
                <w:rStyle w:val="Hyperlink"/>
                <w:noProof/>
                <w:lang w:val="nl-NL"/>
              </w:rPr>
              <w:t>1. Executive Summary</w:t>
            </w:r>
            <w:r w:rsidRPr="00E2191E">
              <w:rPr>
                <w:noProof/>
                <w:lang w:val="nl-NL"/>
              </w:rPr>
              <w:tab/>
            </w:r>
            <w:r w:rsidRPr="00E2191E">
              <w:rPr>
                <w:noProof/>
                <w:lang w:val="nl-NL"/>
              </w:rPr>
              <w:fldChar w:fldCharType="begin"/>
            </w:r>
            <w:r w:rsidRPr="00E2191E">
              <w:rPr>
                <w:noProof/>
                <w:lang w:val="nl-NL"/>
              </w:rPr>
              <w:instrText xml:space="preserve"> PAGEREF _Toc231398325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31E88073" w14:textId="77777777" w:rsidR="00E2191E" w:rsidRPr="00E2191E" w:rsidRDefault="00E2191E">
          <w:pPr>
            <w:pStyle w:val="Inhopg1"/>
            <w:tabs>
              <w:tab w:val="right" w:leader="dot" w:pos="9350"/>
            </w:tabs>
            <w:rPr>
              <w:noProof/>
              <w:lang w:val="nl-NL"/>
            </w:rPr>
          </w:pPr>
          <w:hyperlink w:anchor="_Toc231398326" w:history="1">
            <w:r w:rsidRPr="00E2191E">
              <w:rPr>
                <w:rStyle w:val="Hyperlink"/>
                <w:noProof/>
                <w:lang w:val="nl-NL"/>
              </w:rPr>
              <w:t>2. Scope &amp; Context</w:t>
            </w:r>
            <w:r w:rsidRPr="00E2191E">
              <w:rPr>
                <w:noProof/>
                <w:lang w:val="nl-NL"/>
              </w:rPr>
              <w:tab/>
            </w:r>
            <w:r w:rsidRPr="00E2191E">
              <w:rPr>
                <w:noProof/>
                <w:lang w:val="nl-NL"/>
              </w:rPr>
              <w:fldChar w:fldCharType="begin"/>
            </w:r>
            <w:r w:rsidRPr="00E2191E">
              <w:rPr>
                <w:noProof/>
                <w:lang w:val="nl-NL"/>
              </w:rPr>
              <w:instrText xml:space="preserve"> PAGEREF _Toc231398326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3F948834" w14:textId="77777777" w:rsidR="00E2191E" w:rsidRPr="00E2191E" w:rsidRDefault="00E2191E">
          <w:pPr>
            <w:pStyle w:val="Inhopg2"/>
            <w:tabs>
              <w:tab w:val="right" w:leader="dot" w:pos="9350"/>
            </w:tabs>
            <w:rPr>
              <w:noProof/>
              <w:lang w:val="nl-NL"/>
            </w:rPr>
          </w:pPr>
          <w:hyperlink w:anchor="_Toc231398327" w:history="1">
            <w:r w:rsidRPr="00E2191E">
              <w:rPr>
                <w:rStyle w:val="Hyperlink"/>
                <w:noProof/>
                <w:lang w:val="nl-NL"/>
              </w:rPr>
              <w:t>2.1 Auditobject</w:t>
            </w:r>
            <w:r w:rsidRPr="00E2191E">
              <w:rPr>
                <w:noProof/>
                <w:lang w:val="nl-NL"/>
              </w:rPr>
              <w:tab/>
            </w:r>
            <w:r w:rsidRPr="00E2191E">
              <w:rPr>
                <w:noProof/>
                <w:lang w:val="nl-NL"/>
              </w:rPr>
              <w:fldChar w:fldCharType="begin"/>
            </w:r>
            <w:r w:rsidRPr="00E2191E">
              <w:rPr>
                <w:noProof/>
                <w:lang w:val="nl-NL"/>
              </w:rPr>
              <w:instrText xml:space="preserve"> PAGEREF _Toc231398327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403A1738" w14:textId="77777777" w:rsidR="00E2191E" w:rsidRPr="00E2191E" w:rsidRDefault="00E2191E">
          <w:pPr>
            <w:pStyle w:val="Inhopg2"/>
            <w:tabs>
              <w:tab w:val="right" w:leader="dot" w:pos="9350"/>
            </w:tabs>
            <w:rPr>
              <w:noProof/>
              <w:lang w:val="nl-NL"/>
            </w:rPr>
          </w:pPr>
          <w:hyperlink w:anchor="_Toc231398328" w:history="1">
            <w:r w:rsidRPr="00E2191E">
              <w:rPr>
                <w:rStyle w:val="Hyperlink"/>
                <w:noProof/>
                <w:lang w:val="nl-NL"/>
              </w:rPr>
              <w:t>2.2 Normenkader</w:t>
            </w:r>
            <w:r w:rsidRPr="00E2191E">
              <w:rPr>
                <w:noProof/>
                <w:lang w:val="nl-NL"/>
              </w:rPr>
              <w:tab/>
            </w:r>
            <w:r w:rsidRPr="00E2191E">
              <w:rPr>
                <w:noProof/>
                <w:lang w:val="nl-NL"/>
              </w:rPr>
              <w:fldChar w:fldCharType="begin"/>
            </w:r>
            <w:r w:rsidRPr="00E2191E">
              <w:rPr>
                <w:noProof/>
                <w:lang w:val="nl-NL"/>
              </w:rPr>
              <w:instrText xml:space="preserve"> PAGEREF _Toc231398328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0F99A181" w14:textId="77777777" w:rsidR="00E2191E" w:rsidRPr="00E2191E" w:rsidRDefault="00E2191E">
          <w:pPr>
            <w:pStyle w:val="Inhopg1"/>
            <w:tabs>
              <w:tab w:val="right" w:leader="dot" w:pos="9350"/>
            </w:tabs>
            <w:rPr>
              <w:noProof/>
              <w:lang w:val="nl-NL"/>
            </w:rPr>
          </w:pPr>
          <w:hyperlink w:anchor="_Toc231398329" w:history="1">
            <w:r w:rsidRPr="00E2191E">
              <w:rPr>
                <w:rStyle w:val="Hyperlink"/>
                <w:noProof/>
                <w:lang w:val="nl-NL"/>
              </w:rPr>
              <w:t>3. Gap-analyse</w:t>
            </w:r>
            <w:r w:rsidRPr="00E2191E">
              <w:rPr>
                <w:noProof/>
                <w:lang w:val="nl-NL"/>
              </w:rPr>
              <w:tab/>
            </w:r>
            <w:r w:rsidRPr="00E2191E">
              <w:rPr>
                <w:noProof/>
                <w:lang w:val="nl-NL"/>
              </w:rPr>
              <w:fldChar w:fldCharType="begin"/>
            </w:r>
            <w:r w:rsidRPr="00E2191E">
              <w:rPr>
                <w:noProof/>
                <w:lang w:val="nl-NL"/>
              </w:rPr>
              <w:instrText xml:space="preserve"> PAGEREF _Toc231398329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13D58365" w14:textId="77777777" w:rsidR="00E2191E" w:rsidRPr="00E2191E" w:rsidRDefault="00E2191E">
          <w:pPr>
            <w:pStyle w:val="Inhopg2"/>
            <w:tabs>
              <w:tab w:val="right" w:leader="dot" w:pos="9350"/>
            </w:tabs>
            <w:rPr>
              <w:noProof/>
              <w:lang w:val="nl-NL"/>
            </w:rPr>
          </w:pPr>
          <w:hyperlink w:anchor="_Toc231398330" w:history="1">
            <w:r w:rsidRPr="00E2191E">
              <w:rPr>
                <w:rStyle w:val="Hyperlink"/>
                <w:noProof/>
                <w:lang w:val="nl-NL"/>
              </w:rPr>
              <w:t>3.1 Eindoordeel per control</w:t>
            </w:r>
            <w:r w:rsidRPr="00E2191E">
              <w:rPr>
                <w:noProof/>
                <w:lang w:val="nl-NL"/>
              </w:rPr>
              <w:tab/>
            </w:r>
            <w:r w:rsidRPr="00E2191E">
              <w:rPr>
                <w:noProof/>
                <w:lang w:val="nl-NL"/>
              </w:rPr>
              <w:fldChar w:fldCharType="begin"/>
            </w:r>
            <w:r w:rsidRPr="00E2191E">
              <w:rPr>
                <w:noProof/>
                <w:lang w:val="nl-NL"/>
              </w:rPr>
              <w:instrText xml:space="preserve"> PAGEREF _Toc231398330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011E6FA5" w14:textId="77777777" w:rsidR="00E2191E" w:rsidRPr="00E2191E" w:rsidRDefault="00E2191E">
          <w:pPr>
            <w:pStyle w:val="Inhopg1"/>
            <w:tabs>
              <w:tab w:val="right" w:leader="dot" w:pos="9350"/>
            </w:tabs>
            <w:rPr>
              <w:noProof/>
              <w:lang w:val="nl-NL"/>
            </w:rPr>
          </w:pPr>
          <w:hyperlink w:anchor="_Toc231398331" w:history="1">
            <w:r w:rsidRPr="00E2191E">
              <w:rPr>
                <w:rStyle w:val="Hyperlink"/>
                <w:noProof/>
                <w:lang w:val="nl-NL"/>
              </w:rPr>
              <w:t>4. Asset-inventaris</w:t>
            </w:r>
            <w:r w:rsidRPr="00E2191E">
              <w:rPr>
                <w:noProof/>
                <w:lang w:val="nl-NL"/>
              </w:rPr>
              <w:tab/>
            </w:r>
            <w:r w:rsidRPr="00E2191E">
              <w:rPr>
                <w:noProof/>
                <w:lang w:val="nl-NL"/>
              </w:rPr>
              <w:fldChar w:fldCharType="begin"/>
            </w:r>
            <w:r w:rsidRPr="00E2191E">
              <w:rPr>
                <w:noProof/>
                <w:lang w:val="nl-NL"/>
              </w:rPr>
              <w:instrText xml:space="preserve"> PAGEREF _Toc231398331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07ADB807" w14:textId="77777777" w:rsidR="00E2191E" w:rsidRPr="00E2191E" w:rsidRDefault="00E2191E">
          <w:pPr>
            <w:pStyle w:val="Inhopg1"/>
            <w:tabs>
              <w:tab w:val="right" w:leader="dot" w:pos="9350"/>
            </w:tabs>
            <w:rPr>
              <w:noProof/>
              <w:lang w:val="nl-NL"/>
            </w:rPr>
          </w:pPr>
          <w:hyperlink w:anchor="_Toc231398332" w:history="1">
            <w:r w:rsidRPr="00E2191E">
              <w:rPr>
                <w:rStyle w:val="Hyperlink"/>
                <w:noProof/>
                <w:lang w:val="nl-NL"/>
              </w:rPr>
              <w:t>5. Risicomatrix</w:t>
            </w:r>
            <w:r w:rsidRPr="00E2191E">
              <w:rPr>
                <w:noProof/>
                <w:lang w:val="nl-NL"/>
              </w:rPr>
              <w:tab/>
            </w:r>
            <w:r w:rsidRPr="00E2191E">
              <w:rPr>
                <w:noProof/>
                <w:lang w:val="nl-NL"/>
              </w:rPr>
              <w:fldChar w:fldCharType="begin"/>
            </w:r>
            <w:r w:rsidRPr="00E2191E">
              <w:rPr>
                <w:noProof/>
                <w:lang w:val="nl-NL"/>
              </w:rPr>
              <w:instrText xml:space="preserve"> PAGEREF _Toc231398332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2E79A908" w14:textId="77777777" w:rsidR="00E2191E" w:rsidRPr="00E2191E" w:rsidRDefault="00E2191E">
          <w:pPr>
            <w:pStyle w:val="Inhopg1"/>
            <w:tabs>
              <w:tab w:val="right" w:leader="dot" w:pos="9350"/>
            </w:tabs>
            <w:rPr>
              <w:noProof/>
              <w:lang w:val="nl-NL"/>
            </w:rPr>
          </w:pPr>
          <w:hyperlink w:anchor="_Toc231398333" w:history="1">
            <w:r w:rsidRPr="00E2191E">
              <w:rPr>
                <w:rStyle w:val="Hyperlink"/>
                <w:noProof/>
                <w:lang w:val="nl-NL"/>
              </w:rPr>
              <w:t>6. Bow-tie analyse</w:t>
            </w:r>
            <w:r w:rsidRPr="00E2191E">
              <w:rPr>
                <w:noProof/>
                <w:lang w:val="nl-NL"/>
              </w:rPr>
              <w:tab/>
            </w:r>
            <w:r w:rsidRPr="00E2191E">
              <w:rPr>
                <w:noProof/>
                <w:lang w:val="nl-NL"/>
              </w:rPr>
              <w:fldChar w:fldCharType="begin"/>
            </w:r>
            <w:r w:rsidRPr="00E2191E">
              <w:rPr>
                <w:noProof/>
                <w:lang w:val="nl-NL"/>
              </w:rPr>
              <w:instrText xml:space="preserve"> PAGEREF _Toc231398333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0C5657A3" w14:textId="77777777" w:rsidR="00E2191E" w:rsidRPr="00E2191E" w:rsidRDefault="00E2191E">
          <w:pPr>
            <w:pStyle w:val="Inhopg1"/>
            <w:tabs>
              <w:tab w:val="right" w:leader="dot" w:pos="9350"/>
            </w:tabs>
            <w:rPr>
              <w:noProof/>
              <w:lang w:val="nl-NL"/>
            </w:rPr>
          </w:pPr>
          <w:hyperlink w:anchor="_Toc231398334" w:history="1">
            <w:r w:rsidRPr="00E2191E">
              <w:rPr>
                <w:rStyle w:val="Hyperlink"/>
                <w:noProof/>
                <w:lang w:val="nl-NL"/>
              </w:rPr>
              <w:t>7. Security backlog</w:t>
            </w:r>
            <w:r w:rsidRPr="00E2191E">
              <w:rPr>
                <w:noProof/>
                <w:lang w:val="nl-NL"/>
              </w:rPr>
              <w:tab/>
            </w:r>
            <w:r w:rsidRPr="00E2191E">
              <w:rPr>
                <w:noProof/>
                <w:lang w:val="nl-NL"/>
              </w:rPr>
              <w:fldChar w:fldCharType="begin"/>
            </w:r>
            <w:r w:rsidRPr="00E2191E">
              <w:rPr>
                <w:noProof/>
                <w:lang w:val="nl-NL"/>
              </w:rPr>
              <w:instrText xml:space="preserve"> PAGEREF _Toc231398334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676CBB20" w14:textId="77777777" w:rsidR="00E2191E" w:rsidRPr="00E2191E" w:rsidRDefault="00E2191E">
          <w:pPr>
            <w:pStyle w:val="Inhopg2"/>
            <w:tabs>
              <w:tab w:val="right" w:leader="dot" w:pos="9350"/>
            </w:tabs>
            <w:rPr>
              <w:noProof/>
              <w:lang w:val="nl-NL"/>
            </w:rPr>
          </w:pPr>
          <w:hyperlink w:anchor="_Toc231398335" w:history="1">
            <w:r w:rsidRPr="00E2191E">
              <w:rPr>
                <w:rStyle w:val="Hyperlink"/>
                <w:noProof/>
                <w:lang w:val="nl-NL"/>
              </w:rPr>
              <w:t>7.1 Geprioriteerde punten uit de gap-analyse</w:t>
            </w:r>
            <w:r w:rsidRPr="00E2191E">
              <w:rPr>
                <w:noProof/>
                <w:lang w:val="nl-NL"/>
              </w:rPr>
              <w:tab/>
            </w:r>
            <w:r w:rsidRPr="00E2191E">
              <w:rPr>
                <w:noProof/>
                <w:lang w:val="nl-NL"/>
              </w:rPr>
              <w:fldChar w:fldCharType="begin"/>
            </w:r>
            <w:r w:rsidRPr="00E2191E">
              <w:rPr>
                <w:noProof/>
                <w:lang w:val="nl-NL"/>
              </w:rPr>
              <w:instrText xml:space="preserve"> PAGEREF _Toc231398335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5153B7F1" w14:textId="77777777" w:rsidR="00E2191E" w:rsidRPr="00E2191E" w:rsidRDefault="00E2191E">
          <w:pPr>
            <w:pStyle w:val="Inhopg2"/>
            <w:tabs>
              <w:tab w:val="right" w:leader="dot" w:pos="9350"/>
            </w:tabs>
            <w:rPr>
              <w:noProof/>
              <w:lang w:val="nl-NL"/>
            </w:rPr>
          </w:pPr>
          <w:hyperlink w:anchor="_Toc231398336" w:history="1">
            <w:r w:rsidRPr="00E2191E">
              <w:rPr>
                <w:rStyle w:val="Hyperlink"/>
                <w:noProof/>
                <w:lang w:val="nl-NL"/>
              </w:rPr>
              <w:t>7.2 SAST-resultaten (CodeQL)</w:t>
            </w:r>
            <w:r w:rsidRPr="00E2191E">
              <w:rPr>
                <w:noProof/>
                <w:lang w:val="nl-NL"/>
              </w:rPr>
              <w:tab/>
            </w:r>
            <w:r w:rsidRPr="00E2191E">
              <w:rPr>
                <w:noProof/>
                <w:lang w:val="nl-NL"/>
              </w:rPr>
              <w:fldChar w:fldCharType="begin"/>
            </w:r>
            <w:r w:rsidRPr="00E2191E">
              <w:rPr>
                <w:noProof/>
                <w:lang w:val="nl-NL"/>
              </w:rPr>
              <w:instrText xml:space="preserve"> PAGEREF _Toc231398336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13C47DB5" w14:textId="77777777" w:rsidR="00E2191E" w:rsidRPr="00E2191E" w:rsidRDefault="00E2191E">
          <w:pPr>
            <w:pStyle w:val="Inhopg1"/>
            <w:tabs>
              <w:tab w:val="right" w:leader="dot" w:pos="9350"/>
            </w:tabs>
            <w:rPr>
              <w:noProof/>
              <w:lang w:val="nl-NL"/>
            </w:rPr>
          </w:pPr>
          <w:hyperlink w:anchor="_Toc231398337" w:history="1">
            <w:r w:rsidRPr="00E2191E">
              <w:rPr>
                <w:rStyle w:val="Hyperlink"/>
                <w:noProof/>
                <w:lang w:val="nl-NL"/>
              </w:rPr>
              <w:t>8. SBOM &amp; Patchadvies</w:t>
            </w:r>
            <w:r w:rsidRPr="00E2191E">
              <w:rPr>
                <w:noProof/>
                <w:lang w:val="nl-NL"/>
              </w:rPr>
              <w:tab/>
            </w:r>
            <w:r w:rsidRPr="00E2191E">
              <w:rPr>
                <w:noProof/>
                <w:lang w:val="nl-NL"/>
              </w:rPr>
              <w:fldChar w:fldCharType="begin"/>
            </w:r>
            <w:r w:rsidRPr="00E2191E">
              <w:rPr>
                <w:noProof/>
                <w:lang w:val="nl-NL"/>
              </w:rPr>
              <w:instrText xml:space="preserve"> PAGEREF _Toc231398337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74174478" w14:textId="77777777" w:rsidR="00E2191E" w:rsidRPr="00E2191E" w:rsidRDefault="00E2191E">
          <w:pPr>
            <w:pStyle w:val="Inhopg2"/>
            <w:tabs>
              <w:tab w:val="right" w:leader="dot" w:pos="9350"/>
            </w:tabs>
            <w:rPr>
              <w:noProof/>
              <w:lang w:val="nl-NL"/>
            </w:rPr>
          </w:pPr>
          <w:hyperlink w:anchor="_Toc231398338" w:history="1">
            <w:r w:rsidRPr="00E2191E">
              <w:rPr>
                <w:rStyle w:val="Hyperlink"/>
                <w:noProof/>
                <w:lang w:val="nl-NL"/>
              </w:rPr>
              <w:t>8.1 SBOM</w:t>
            </w:r>
            <w:r w:rsidRPr="00E2191E">
              <w:rPr>
                <w:noProof/>
                <w:lang w:val="nl-NL"/>
              </w:rPr>
              <w:tab/>
            </w:r>
            <w:r w:rsidRPr="00E2191E">
              <w:rPr>
                <w:noProof/>
                <w:lang w:val="nl-NL"/>
              </w:rPr>
              <w:fldChar w:fldCharType="begin"/>
            </w:r>
            <w:r w:rsidRPr="00E2191E">
              <w:rPr>
                <w:noProof/>
                <w:lang w:val="nl-NL"/>
              </w:rPr>
              <w:instrText xml:space="preserve"> PAGEREF _Toc231398338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3BAAA6E1" w14:textId="77777777" w:rsidR="00E2191E" w:rsidRPr="00E2191E" w:rsidRDefault="00E2191E">
          <w:pPr>
            <w:pStyle w:val="Inhopg2"/>
            <w:tabs>
              <w:tab w:val="right" w:leader="dot" w:pos="9350"/>
            </w:tabs>
            <w:rPr>
              <w:noProof/>
              <w:lang w:val="nl-NL"/>
            </w:rPr>
          </w:pPr>
          <w:hyperlink w:anchor="_Toc231398339" w:history="1">
            <w:r w:rsidRPr="00E2191E">
              <w:rPr>
                <w:rStyle w:val="Hyperlink"/>
                <w:noProof/>
                <w:lang w:val="nl-NL"/>
              </w:rPr>
              <w:t>8.2 Patchadvies</w:t>
            </w:r>
            <w:r w:rsidRPr="00E2191E">
              <w:rPr>
                <w:noProof/>
                <w:lang w:val="nl-NL"/>
              </w:rPr>
              <w:tab/>
            </w:r>
            <w:r w:rsidRPr="00E2191E">
              <w:rPr>
                <w:noProof/>
                <w:lang w:val="nl-NL"/>
              </w:rPr>
              <w:fldChar w:fldCharType="begin"/>
            </w:r>
            <w:r w:rsidRPr="00E2191E">
              <w:rPr>
                <w:noProof/>
                <w:lang w:val="nl-NL"/>
              </w:rPr>
              <w:instrText xml:space="preserve"> PAGEREF _Toc231398339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1CD0E62C" w14:textId="77777777" w:rsidR="00E2191E" w:rsidRPr="00E2191E" w:rsidRDefault="00E2191E">
          <w:pPr>
            <w:pStyle w:val="Inhopg1"/>
            <w:tabs>
              <w:tab w:val="right" w:leader="dot" w:pos="9350"/>
            </w:tabs>
            <w:rPr>
              <w:noProof/>
              <w:lang w:val="nl-NL"/>
            </w:rPr>
          </w:pPr>
          <w:hyperlink w:anchor="_Toc231398340" w:history="1">
            <w:r w:rsidRPr="00E2191E">
              <w:rPr>
                <w:rStyle w:val="Hyperlink"/>
                <w:noProof/>
                <w:lang w:val="nl-NL"/>
              </w:rPr>
              <w:t>9. PoC &amp; Pentestresultaten</w:t>
            </w:r>
            <w:r w:rsidRPr="00E2191E">
              <w:rPr>
                <w:noProof/>
                <w:lang w:val="nl-NL"/>
              </w:rPr>
              <w:tab/>
            </w:r>
            <w:r w:rsidRPr="00E2191E">
              <w:rPr>
                <w:noProof/>
                <w:lang w:val="nl-NL"/>
              </w:rPr>
              <w:fldChar w:fldCharType="begin"/>
            </w:r>
            <w:r w:rsidRPr="00E2191E">
              <w:rPr>
                <w:noProof/>
                <w:lang w:val="nl-NL"/>
              </w:rPr>
              <w:instrText xml:space="preserve"> PAGEREF _Toc231398340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151AF70F" w14:textId="77777777" w:rsidR="00E2191E" w:rsidRPr="00E2191E" w:rsidRDefault="00E2191E">
          <w:pPr>
            <w:pStyle w:val="Inhopg1"/>
            <w:tabs>
              <w:tab w:val="right" w:leader="dot" w:pos="9350"/>
            </w:tabs>
            <w:rPr>
              <w:noProof/>
              <w:lang w:val="nl-NL"/>
            </w:rPr>
          </w:pPr>
          <w:hyperlink w:anchor="_Toc231398341" w:history="1">
            <w:r w:rsidRPr="00E2191E">
              <w:rPr>
                <w:rStyle w:val="Hyperlink"/>
                <w:noProof/>
                <w:lang w:val="nl-NL"/>
              </w:rPr>
              <w:t>10. DPIA-check</w:t>
            </w:r>
            <w:r w:rsidRPr="00E2191E">
              <w:rPr>
                <w:noProof/>
                <w:lang w:val="nl-NL"/>
              </w:rPr>
              <w:tab/>
            </w:r>
            <w:r w:rsidRPr="00E2191E">
              <w:rPr>
                <w:noProof/>
                <w:lang w:val="nl-NL"/>
              </w:rPr>
              <w:fldChar w:fldCharType="begin"/>
            </w:r>
            <w:r w:rsidRPr="00E2191E">
              <w:rPr>
                <w:noProof/>
                <w:lang w:val="nl-NL"/>
              </w:rPr>
              <w:instrText xml:space="preserve"> PAGEREF _Toc231398341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4684C275" w14:textId="77777777" w:rsidR="00E2191E" w:rsidRPr="00E2191E" w:rsidRDefault="00E2191E">
          <w:pPr>
            <w:pStyle w:val="Inhopg1"/>
            <w:tabs>
              <w:tab w:val="right" w:leader="dot" w:pos="9350"/>
            </w:tabs>
            <w:rPr>
              <w:noProof/>
              <w:lang w:val="nl-NL"/>
            </w:rPr>
          </w:pPr>
          <w:hyperlink w:anchor="_Toc231398342" w:history="1">
            <w:r w:rsidRPr="00E2191E">
              <w:rPr>
                <w:rStyle w:val="Hyperlink"/>
                <w:noProof/>
                <w:lang w:val="nl-NL"/>
              </w:rPr>
              <w:t>11. Aanbevelingen</w:t>
            </w:r>
            <w:r w:rsidRPr="00E2191E">
              <w:rPr>
                <w:noProof/>
                <w:lang w:val="nl-NL"/>
              </w:rPr>
              <w:tab/>
            </w:r>
            <w:r w:rsidRPr="00E2191E">
              <w:rPr>
                <w:noProof/>
                <w:lang w:val="nl-NL"/>
              </w:rPr>
              <w:fldChar w:fldCharType="begin"/>
            </w:r>
            <w:r w:rsidRPr="00E2191E">
              <w:rPr>
                <w:noProof/>
                <w:lang w:val="nl-NL"/>
              </w:rPr>
              <w:instrText xml:space="preserve"> PAGEREF _Toc231398342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6E24CB55" w14:textId="77777777" w:rsidR="00E2191E" w:rsidRPr="00E2191E" w:rsidRDefault="00E2191E">
          <w:pPr>
            <w:pStyle w:val="Inhopg1"/>
            <w:tabs>
              <w:tab w:val="right" w:leader="dot" w:pos="9350"/>
            </w:tabs>
            <w:rPr>
              <w:noProof/>
              <w:lang w:val="nl-NL"/>
            </w:rPr>
          </w:pPr>
          <w:hyperlink w:anchor="_Toc231398343" w:history="1">
            <w:r w:rsidRPr="00E2191E">
              <w:rPr>
                <w:rStyle w:val="Hyperlink"/>
                <w:noProof/>
                <w:lang w:val="nl-NL"/>
              </w:rPr>
              <w:t>12. Bronnenlijst</w:t>
            </w:r>
            <w:r w:rsidRPr="00E2191E">
              <w:rPr>
                <w:noProof/>
                <w:lang w:val="nl-NL"/>
              </w:rPr>
              <w:tab/>
            </w:r>
            <w:r w:rsidRPr="00E2191E">
              <w:rPr>
                <w:noProof/>
                <w:lang w:val="nl-NL"/>
              </w:rPr>
              <w:fldChar w:fldCharType="begin"/>
            </w:r>
            <w:r w:rsidRPr="00E2191E">
              <w:rPr>
                <w:noProof/>
                <w:lang w:val="nl-NL"/>
              </w:rPr>
              <w:instrText xml:space="preserve"> PAGEREF _Toc231398343 \h </w:instrText>
            </w:r>
            <w:r w:rsidRPr="00E2191E">
              <w:rPr>
                <w:noProof/>
                <w:lang w:val="nl-NL"/>
              </w:rPr>
            </w:r>
            <w:r w:rsidRPr="00E2191E">
              <w:rPr>
                <w:noProof/>
                <w:lang w:val="nl-NL"/>
              </w:rPr>
              <w:fldChar w:fldCharType="separate"/>
            </w:r>
            <w:r w:rsidRPr="00E2191E">
              <w:rPr>
                <w:noProof/>
                <w:lang w:val="nl-NL"/>
              </w:rPr>
              <w:t>1</w:t>
            </w:r>
            <w:r w:rsidRPr="00E2191E">
              <w:rPr>
                <w:noProof/>
                <w:lang w:val="nl-NL"/>
              </w:rPr>
              <w:fldChar w:fldCharType="end"/>
            </w:r>
          </w:hyperlink>
        </w:p>
        <w:p w14:paraId="14996B00" w14:textId="77777777" w:rsidR="00DA1303" w:rsidRPr="00E2191E" w:rsidRDefault="001E7F7C">
          <w:pPr>
            <w:rPr>
              <w:lang w:val="nl-NL"/>
            </w:rPr>
          </w:pPr>
          <w:r w:rsidRPr="00E2191E">
            <w:rPr>
              <w:lang w:val="nl-NL"/>
            </w:rPr>
            <w:fldChar w:fldCharType="end"/>
          </w:r>
        </w:p>
      </w:sdtContent>
    </w:sdt>
    <w:p w14:paraId="5CAAA0DC" w14:textId="77777777" w:rsidR="00DA1303" w:rsidRPr="00E2191E" w:rsidRDefault="001E7F7C">
      <w:pPr>
        <w:rPr>
          <w:lang w:val="nl-NL"/>
        </w:rPr>
      </w:pPr>
      <w:r w:rsidRPr="00E2191E">
        <w:rPr>
          <w:lang w:val="nl-NL"/>
        </w:rPr>
        <w:br w:type="page"/>
      </w:r>
    </w:p>
    <w:p w14:paraId="18EA0B2A" w14:textId="77777777" w:rsidR="00DA1303" w:rsidRPr="00E2191E" w:rsidRDefault="001E7F7C">
      <w:pPr>
        <w:pStyle w:val="Kop1"/>
        <w:rPr>
          <w:lang w:val="nl-NL"/>
        </w:rPr>
      </w:pPr>
      <w:bookmarkStart w:id="2" w:name="_Toc231398325"/>
      <w:r w:rsidRPr="00E2191E">
        <w:rPr>
          <w:lang w:val="nl-NL"/>
        </w:rPr>
        <w:lastRenderedPageBreak/>
        <w:t>1. Executive Summary</w:t>
      </w:r>
      <w:bookmarkEnd w:id="2"/>
    </w:p>
    <w:p w14:paraId="53BB8EEA" w14:textId="77777777" w:rsidR="00DA1303" w:rsidRPr="00E2191E" w:rsidRDefault="001E7F7C">
      <w:pPr>
        <w:spacing w:after="120"/>
        <w:rPr>
          <w:lang w:val="nl-NL"/>
        </w:rPr>
      </w:pPr>
      <w:r>
        <w:rPr>
          <w:b/>
        </w:rPr>
        <w:t>Algeheel beveiligingsoordeel: AMBER</w:t>
      </w:r>
      <w:r>
        <w:t xml:space="preserve"> — de module is aantoonbaar veiliger geworden maar is nog niet productierijp voor een zorgomgeving zonder de geprioriteerde vervolgstappen (zie security backlog P1).</w:t>
      </w:r>
    </w:p>
    <w:p>
      <w:pPr/>
      <w:r>
        <w:t>Deze audit beoordeelt de beveiliging van de OpenMRS Legacy UI-module v1.20.0, de weblaag van een elektronisch patiëntdossier, tegen NEN-7510:2024-2. De aanleiding is dat deze module patiëntdossiers en toegangsbeheer verwerkt — data van de hoogste gevoeligheidsklasse — terwijl het een verouderd component betreft.</w:t>
      </w:r>
    </w:p>
    <w:p>
      <w:pPr/>
      <w:r>
        <w:t>De audit combineerde een gap-analyse tegen de norm, een attack surface mapping, een penetratietest en een analyse van de afhankelijkheden. Het leidende principe was herleidbaarheid: elke bevinding is van bron tot hertest te volgen via een verifieerbaar artefact, en elk accepteer- of herstelbesluit is genomen tegen vooraf vastgelegde risicocriteria, met een aangescherpte grens voor alles wat patiëntveiligheid raakt.</w:t>
      </w:r>
    </w:p>
    <w:p>
      <w:pPr/>
      <w:r>
        <w:t>Op de baseline scoorde de module gedeeltelijk compliant op toegangsbeveiliging (8.3) en authenticatie (8.5), en niet compliant op logging (8.15). De zwaarste bevinding was het volledig ontbreken van een auditspoor voor beveiligingsgebeurtenissen. Daarnaast legde de analyse een breed aanvalsoppervlak bloot (34 entry points, waarvan 5 hoog risico) en 128 kwetsbaarheden in de afhankelijkheden, waarvan 6 critical.</w:t>
      </w:r>
    </w:p>
    <w:p>
      <w:pPr/>
      <w:r>
        <w:t>Binnen het traject zijn vier van de zes pentest-bevindingen opgelost en hertest: de herstelde sessie-IP-binding, het complete audit-logging, de geharde wachtwoordreset-flow en het mitigeren van information disclosure. Logging ging daarmee van niet-compliant naar grotendeels compliant — de grootste verbetering. Twee bevindingen zijn bewust geaccepteerd omdat ze onder de risicogrenswaarde bleven, met vastgelegde onderbouwing.</w:t>
      </w:r>
    </w:p>
    <w:p>
      <w:pPr/>
      <w:r>
        <w:t>De module is aantoonbaar veiliger geworden, maar nog niet productierijp voor een zorgomgeving. De belangrijkste resterende punten zijn de kwetsbare afhankelijkheden (met de log4j 1.x-migratie als zwaarste), de ontbrekende privilege-checks op controllerniveau, en de nog niet diepgaand geanalyseerde DWR-laag. Het advies is een gefaseerde aanpak volgens de geprioriteerde backlog, met een geraamde inspanning van circa 9,5 dag voor de kern.</w:t>
      </w:r>
    </w:p>
    <w:p>
      <w:pPr/>
      <w:r>
        <w:t>De waarde van deze audit ligt evenzeer in de aanpak als in de fixes: de resterende risico’s zijn geïdentificeerd, onderbouwd en geprioriteerd, en wat bewust niet is gedaan is met reden vastgelegd. Daarmee zijn de risico’s beheersbaar in plaats van onbekend.</w:t>
      </w:r>
    </w:p>
    <w:p w14:paraId="5D668125" w14:textId="77777777" w:rsidR="00DA1303" w:rsidRPr="00E2191E" w:rsidRDefault="001E7F7C">
      <w:pPr>
        <w:pStyle w:val="Kop1"/>
        <w:rPr>
          <w:lang w:val="nl-NL"/>
        </w:rPr>
      </w:pPr>
      <w:bookmarkStart w:id="3" w:name="_Toc231398326"/>
      <w:r w:rsidRPr="00E2191E">
        <w:rPr>
          <w:lang w:val="nl-NL"/>
        </w:rPr>
        <w:t>2. Scope &amp; Context</w:t>
      </w:r>
      <w:bookmarkEnd w:id="3"/>
    </w:p>
    <w:p w14:paraId="707093D0" w14:textId="77777777" w:rsidR="00DA1303" w:rsidRPr="00E2191E" w:rsidRDefault="001E7F7C">
      <w:pPr>
        <w:pStyle w:val="Kop2"/>
        <w:rPr>
          <w:lang w:val="nl-NL"/>
        </w:rPr>
      </w:pPr>
      <w:bookmarkStart w:id="4" w:name="_Toc231398327"/>
      <w:r w:rsidRPr="00E2191E">
        <w:rPr>
          <w:lang w:val="nl-NL"/>
        </w:rPr>
        <w:t>2.1 Auditobject</w:t>
      </w:r>
      <w:bookmarkEnd w:id="4"/>
    </w:p>
    <w:p w14:paraId="29E388A7" w14:textId="77777777" w:rsidR="00DA1303" w:rsidRPr="00E2191E" w:rsidRDefault="001E7F7C">
      <w:pPr>
        <w:spacing w:after="120"/>
        <w:rPr>
          <w:lang w:val="nl-NL"/>
        </w:rPr>
      </w:pPr>
      <w:r w:rsidRPr="00E2191E">
        <w:rPr>
          <w:lang w:val="nl-NL"/>
        </w:rPr>
        <w:t>Onderwerp van deze audit is de OpenMRS Legacy UI Module, versie 1.20.0 (Maven multi-module: api/ en omod/), draaiend op OpenMRS Platform 2.0.0 en Java 1.8. De baseline is in versiebeheer vastgelegd onder de git-tag baseline-legacyui-1.20.0.</w:t>
      </w:r>
    </w:p>
    <w:p w14:paraId="18FE2C56" w14:textId="77777777" w:rsidR="00DA1303" w:rsidRPr="00E2191E" w:rsidRDefault="001E7F7C">
      <w:pPr>
        <w:pStyle w:val="Kop2"/>
        <w:rPr>
          <w:lang w:val="nl-NL"/>
        </w:rPr>
      </w:pPr>
      <w:bookmarkStart w:id="5" w:name="_Toc231398328"/>
      <w:r w:rsidRPr="00E2191E">
        <w:rPr>
          <w:lang w:val="nl-NL"/>
        </w:rPr>
        <w:t>2.2 Normenkader</w:t>
      </w:r>
      <w:bookmarkEnd w:id="5"/>
    </w:p>
    <w:p w14:paraId="69F7A586" w14:textId="77777777" w:rsidR="00DA1303" w:rsidRPr="00E2191E" w:rsidRDefault="001E7F7C">
      <w:pPr>
        <w:spacing w:after="120"/>
        <w:rPr>
          <w:lang w:val="nl-NL"/>
        </w:rPr>
      </w:pPr>
      <w:r w:rsidRPr="00E2191E">
        <w:rPr>
          <w:lang w:val="nl-NL"/>
        </w:rPr>
        <w:t>De audit toetst aan NEN-7510:2024-2 en raakt waar relevant de Cyber Resilience Act (CRA).</w:t>
      </w:r>
    </w:p>
    <w:p w14:paraId="5C95EE0E" w14:textId="77777777" w:rsidR="00DA1303" w:rsidRPr="00E2191E" w:rsidRDefault="001E7F7C">
      <w:pPr>
        <w:pStyle w:val="Kop3"/>
        <w:spacing w:after="120"/>
        <w:rPr>
          <w:lang w:val="nl-NL"/>
        </w:rPr>
      </w:pPr>
      <w:r>
        <w:t>Afbakening</w:t>
      </w:r>
    </w:p>
    <w:p>
      <w:pPr/>
      <w:r>
        <w:t>Binnen scope: de modulecode van legacyui 1.20.0 — controllers, servlets, taglibs, DWR-configuratie en JSP-formulieren — plus de afhankelijkheden zoals die in de SBOM van deze versie voorkomen.</w:t>
      </w:r>
    </w:p>
    <w:p>
      <w:pPr/>
      <w:r>
        <w:t>Buiten scope, met motivatie:</w:t>
      </w:r>
    </w:p>
    <w:p>
      <w:pPr>
        <w:pStyle w:val="Lijstalinea"/>
        <w:numPr>
          <w:ilvl w:val="0"/>
          <w:numId w:val="2"/>
        </w:numPr>
      </w:pPr>
      <w:r>
        <w:rPr>
          <w:b/>
        </w:rPr>
        <w:t xml:space="preserve">De OpenMRS-core en het platform. </w:t>
      </w:r>
      <w:r>
        <w:t>De module draait op platform ≥2.0.0; kwetsbaarheden in de core zelf zijn niet beoordeeld, behalve waar de module er aantoonbaar op leunt (bijvoorbeeld de service-laag-autorisatie die bij T4 is geverifieerd).</w:t>
      </w:r>
    </w:p>
    <w:p>
      <w:pPr>
        <w:pStyle w:val="Lijstalinea"/>
        <w:numPr>
          <w:ilvl w:val="0"/>
          <w:numId w:val="2"/>
        </w:numPr>
      </w:pPr>
      <w:r>
        <w:rPr>
          <w:b/>
        </w:rPr>
        <w:t xml:space="preserve">De referenceapplication-SPA (O3). </w:t>
      </w:r>
      <w:r>
        <w:t>De moderne single-page front-end is een aparte module en valt buiten deze audit. De pentest is daarom uitgevoerd tegen de directe backend (http://localhost:8080/openmrs), niet via de O3-gateway.</w:t>
      </w:r>
    </w:p>
    <w:p>
      <w:pPr>
        <w:pStyle w:val="Lijstalinea"/>
        <w:numPr>
          <w:ilvl w:val="0"/>
          <w:numId w:val="2"/>
        </w:numPr>
      </w:pPr>
      <w:r>
        <w:rPr>
          <w:b/>
        </w:rPr>
        <w:t xml:space="preserve">Containerconfiguratie en distro-logbeleid. </w:t>
      </w:r>
      <w:r>
        <w:t>De Tomcat-versiebanner (bevinding #6b) en het distro-logniveau zijn deployment-eigenschappen buiten de module; ze zijn als scope-grens respectievelijk deployment-voorwaarde vastgelegd, niet als modulebevinding.</w:t>
      </w:r>
    </w:p>
    <w:p>
      <w:pPr>
        <w:pStyle w:val="Kop3"/>
      </w:pPr>
      <w:r>
        <w:t>Aanvalsoppervlak</w:t>
      </w:r>
    </w:p>
    <w:p>
      <w:pPr/>
      <w:r>
        <w:t>Het aanvalsoppervlak is via statische broncode-inspectie in kaart gebracht (attack-surface-tabel.md, attack-surface-samenvatting.md, NEN-7510 8.25). Geïdentificeerd zijn 34 entry points (HTTP-endpoints plus DWR-methoden), waarvan 5 als hoog risico geclassificeerd, naast 11 JSP-formulieren met externe invoer, 2 bestandsupload-/SSRF-kanalen en 2 HL7-invoerkanalen. De vijf hoog-risico entry points betreffen onder meer SSRF via fetchModuleDetails.form, plaintext-credentials op postHl7.form, en systeemconfiguratie-endpoints zonder privilege-check op controller-niveau (globalProps.form, DWRAdministrationService.setGlobalProperty).</w:t>
      </w:r>
    </w:p>
    <w:p>
      <w:pPr/>
      <w:r>
        <w:t>Dit aanvalsoppervlak vormt de context waarbinnen de pentest is uitgevoerd: de geteste bevindingen zijn concrete instanties uit deze bredere kaart, niet de volledige kaart zelf. Het overzicht is daarmee zowel scope-afbakening als verantwoording van wat wél en niet diepgaand is getest.</w:t>
      </w:r>
    </w:p>
    <w:p>
      <w:pPr/>
      <w:r>
        <w:rPr>
          <w:b/>
        </w:rPr>
        <w:t xml:space="preserve">Aanvullend normkader. </w:t>
      </w:r>
      <w:r>
        <w:t>De audit toetst primair tegen NEN-7510:2024-2 (geanalyseerde controls: 8.3 toegangsbeveiliging, 8.5 authenticatie, 8.15 logging, 8.9 configuratiebeheer en 8.25 attack surface). Aanvullend zijn ISO 25010 (onderhoudbaarheidsspoor, apart beoordeeld), OWASP (pentest-methodologie, #57) en de CRA (EU 2024/2847) als kader voor supply-chain- en kwetsbaarheidsbeheer (#59) van toepassing.</w:t>
      </w:r>
    </w:p>
    <w:p w14:paraId="7EDA69E5" w14:textId="77777777" w:rsidR="00DA1303" w:rsidRPr="00E2191E" w:rsidRDefault="001E7F7C">
      <w:pPr>
        <w:pStyle w:val="Kop1"/>
        <w:rPr>
          <w:lang w:val="nl-NL"/>
        </w:rPr>
      </w:pPr>
      <w:bookmarkStart w:id="6" w:name="_Toc231398329"/>
      <w:r w:rsidRPr="00E2191E">
        <w:rPr>
          <w:lang w:val="nl-NL"/>
        </w:rPr>
        <w:t>3. Gap-analyse</w:t>
      </w:r>
      <w:bookmarkEnd w:id="6"/>
    </w:p>
    <w:p w14:paraId="322E489C" w14:textId="77777777" w:rsidR="00DA1303" w:rsidRPr="00E2191E" w:rsidRDefault="001E7F7C">
      <w:pPr>
        <w:spacing w:after="120"/>
        <w:rPr>
          <w:lang w:val="nl-NL"/>
        </w:rPr>
      </w:pPr>
      <w:r w:rsidRPr="00E2191E">
        <w:rPr>
          <w:lang w:val="nl-NL"/>
        </w:rPr>
        <w:t>De gap-analyse beoordeelt de broncode van de module tegen drie NEN-7510-controls: A.8.3 (Toegangsbeperking), A.8.5 (Beveiligde authenticatie) en A.8.15 (Logging). Per bevinding is een status (Aanwezig / Gedeeltelijk / Afwezig) toegekend met verwijzing naar bestand en regelnummer. De analyse is na opstelling tegen de werkelijke broncode geverifieerd; de wijzigingen zijn vastgelegd in de changelog van het brondocument.</w:t>
      </w:r>
    </w:p>
    <w:p w14:paraId="34A462BD" w14:textId="77777777" w:rsidR="00DA1303" w:rsidRPr="00E2191E" w:rsidRDefault="001E7F7C">
      <w:pPr>
        <w:pStyle w:val="Kop2"/>
        <w:rPr>
          <w:lang w:val="nl-NL"/>
        </w:rPr>
      </w:pPr>
      <w:bookmarkStart w:id="7" w:name="_Toc231398330"/>
      <w:r w:rsidRPr="00E2191E">
        <w:rPr>
          <w:lang w:val="nl-NL"/>
        </w:rPr>
        <w:t>3.1 Eindoordeel per control</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A1303" w:rsidRPr="00E2191E" w14:paraId="2BEDF6C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6CACE0" w14:textId="77777777" w:rsidR="00DA1303" w:rsidRPr="00E2191E" w:rsidRDefault="001E7F7C">
            <w:pPr>
              <w:rPr>
                <w:lang w:val="nl-NL"/>
              </w:rPr>
            </w:pPr>
            <w:r w:rsidRPr="00E2191E">
              <w:rPr>
                <w:b/>
                <w:bCs/>
                <w:lang w:val="nl-NL"/>
              </w:rPr>
              <w:t>Control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0DA66" w14:textId="77777777" w:rsidR="00DA1303" w:rsidRPr="00E2191E" w:rsidRDefault="001E7F7C">
            <w:pPr>
              <w:rPr>
                <w:lang w:val="nl-NL"/>
              </w:rPr>
            </w:pPr>
            <w:r w:rsidRPr="00E2191E">
              <w:rPr>
                <w:b/>
                <w:bCs/>
                <w:lang w:val="nl-NL"/>
              </w:rPr>
              <w:t>Eindoordeel</w:t>
            </w:r>
          </w:p>
        </w:tc>
        <w:tc>
          <w:tcPr>
            <w:tcW w:w="4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3770C5" w14:textId="77777777" w:rsidR="00DA1303" w:rsidRPr="00E2191E" w:rsidRDefault="001E7F7C">
            <w:pPr>
              <w:rPr>
                <w:lang w:val="nl-NL"/>
              </w:rPr>
            </w:pPr>
            <w:r w:rsidRPr="00E2191E">
              <w:rPr>
                <w:b/>
                <w:bCs/>
                <w:lang w:val="nl-NL"/>
              </w:rPr>
              <w:t>Kernpunt</w:t>
            </w:r>
          </w:p>
        </w:tc>
      </w:tr>
      <w:tr w:rsidR="00DA1303" w:rsidRPr="00E2191E" w14:paraId="222CF235"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02500" w14:textId="77777777" w:rsidR="00DA1303" w:rsidRPr="00E2191E" w:rsidRDefault="001E7F7C">
            <w:pPr>
              <w:rPr>
                <w:lang w:val="nl-NL"/>
              </w:rPr>
            </w:pPr>
            <w:r w:rsidRPr="00E2191E">
              <w:rPr>
                <w:lang w:val="nl-NL"/>
              </w:rPr>
              <w:t>A.8.3 Toegangsbeperking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85780" w14:textId="77777777" w:rsidR="00DA1303" w:rsidRPr="00E2191E" w:rsidRDefault="001E7F7C">
            <w:pPr>
              <w:rPr>
                <w:lang w:val="nl-NL"/>
              </w:rPr>
            </w:pPr>
            <w:r w:rsidRPr="00E2191E">
              <w:rPr>
                <w:lang w:val="nl-NL"/>
              </w:rPr>
              <w:t>Gedeeltelijk compliant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1B5ED" w14:textId="77777777" w:rsidR="00DA1303" w:rsidRPr="00E2191E" w:rsidRDefault="001E7F7C">
            <w:pPr>
              <w:rPr>
                <w:lang w:val="nl-NL"/>
              </w:rPr>
            </w:pPr>
            <w:r w:rsidRPr="00E2191E">
              <w:rPr>
                <w:lang w:val="nl-NL"/>
              </w:rPr>
              <w:t>Geen privilege-check op controller-niveau; IP-binding functioneel uitgeschakeld (dood codepad)</w:t>
            </w:r>
          </w:p>
        </w:tc>
      </w:tr>
      <w:tr w:rsidR="00DA1303" w:rsidRPr="00E2191E" w14:paraId="0F86E15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49C11" w14:textId="77777777" w:rsidR="00DA1303" w:rsidRPr="00E2191E" w:rsidRDefault="001E7F7C">
            <w:pPr>
              <w:rPr>
                <w:lang w:val="nl-NL"/>
              </w:rPr>
            </w:pPr>
            <w:r w:rsidRPr="00E2191E">
              <w:rPr>
                <w:lang w:val="nl-NL"/>
              </w:rPr>
              <w:t>A.8.5 Beveiligde authenticatie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41697" w14:textId="77777777" w:rsidR="00DA1303" w:rsidRPr="00E2191E" w:rsidRDefault="001E7F7C">
            <w:pPr>
              <w:rPr>
                <w:lang w:val="nl-NL"/>
              </w:rPr>
            </w:pPr>
            <w:r w:rsidRPr="00E2191E">
              <w:rPr>
                <w:lang w:val="nl-NL"/>
              </w:rPr>
              <w:t>Gedeeltelijk compliant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34D3C" w14:textId="77777777" w:rsidR="00DA1303" w:rsidRPr="00E2191E" w:rsidRDefault="001E7F7C">
            <w:pPr>
              <w:rPr>
                <w:lang w:val="nl-NL"/>
              </w:rPr>
            </w:pPr>
            <w:r w:rsidRPr="00E2191E">
              <w:rPr>
                <w:lang w:val="nl-NL"/>
              </w:rPr>
              <w:t>Brute-force drempel default te hoog; geen vervaldatum tijdelijk wachtwoord; enumeratie mogelijk</w:t>
            </w:r>
          </w:p>
        </w:tc>
      </w:tr>
      <w:tr w:rsidR="00DA1303" w:rsidRPr="00E2191E" w14:paraId="7F51D42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FD20C" w14:textId="77777777" w:rsidR="00DA1303" w:rsidRPr="00E2191E" w:rsidRDefault="001E7F7C">
            <w:pPr>
              <w:rPr>
                <w:lang w:val="nl-NL"/>
              </w:rPr>
            </w:pPr>
            <w:r w:rsidRPr="00E2191E">
              <w:rPr>
                <w:lang w:val="nl-NL"/>
              </w:rPr>
              <w:t>A.8.15 Logging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F178" w14:textId="77777777" w:rsidR="00DA1303" w:rsidRPr="00E2191E" w:rsidRDefault="001E7F7C">
            <w:pPr>
              <w:rPr>
                <w:lang w:val="nl-NL"/>
              </w:rPr>
            </w:pPr>
            <w:r w:rsidRPr="00E2191E">
              <w:rPr>
                <w:lang w:val="nl-NL"/>
              </w:rPr>
              <w:t>Niet compliant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183FF" w14:textId="77777777" w:rsidR="00DA1303" w:rsidRPr="00E2191E" w:rsidRDefault="001E7F7C">
            <w:pPr>
              <w:rPr>
                <w:lang w:val="nl-NL"/>
              </w:rPr>
            </w:pPr>
            <w:r w:rsidRPr="00E2191E">
              <w:rPr>
                <w:lang w:val="nl-NL"/>
              </w:rPr>
              <w:t>8+ ontbrekende security-event categorieën (mislukte logins, impersonatie, logout, admin-acties)</w:t>
            </w:r>
          </w:p>
        </w:tc>
      </w:tr>
    </w:tbl>
    <w:p w14:paraId="278D8472" w14:textId="77777777" w:rsidR="00DA1303" w:rsidRPr="00E2191E" w:rsidRDefault="001E7F7C">
      <w:pPr>
        <w:spacing w:after="120"/>
        <w:rPr>
          <w:lang w:val="nl-NL"/>
        </w:rPr>
      </w:pPr>
      <w:r>
        <w:t>Hieronder het eindoordeel en de kernpunten per control. De volledige bevindingentabellen per control (8.3-1 t/m 8.3-6, 8.5-1 t/m 8.5-6, 8.15-1 t/m 8.15-12) staan in bijlage C (gap-analyse-NEN7510.md).</w:t>
      </w:r>
    </w:p>
    <w:p>
      <w:pPr>
        <w:pStyle w:val="Kop3"/>
      </w:pPr>
      <w:r>
        <w:t>A.8.3 — Toegangsbeperking: Gedeeltelijk compliant</w:t>
      </w:r>
    </w:p>
    <w:p>
      <w:pPr/>
      <w:r>
        <w:t>Twee architectuurrisico’s bepalen het oordeel. (1) Zowel AdminPageFilter als de controllers vertrouwen voor autorisatie volledig op de JSP-laag (&lt;openmrs:require&gt;); ontbreekt een tag of wordt die omzeild, dan is er geen vangnet op controller-niveau (8.3-4, 8.3-5). (2) De sessie-IP-binding (8.3-3) is door verkeerd API-gebruik functioneel een dood codepad: RequireTag.java:88 gebruikt request.getLocalAddr() (server-IP) in plaats van getRemoteAddr() (client-IP), waardoor de mismatch-check nooit triggert (8.3-6, prioriteit Hoog) — formeel aanwezig, feitelijk geen bescherming tegen sessie-hijacking via IP-wissel.</w:t>
      </w:r>
    </w:p>
    <w:p>
      <w:pPr>
        <w:pStyle w:val="Kop3"/>
      </w:pPr>
      <w:r>
        <w:t>A.8.5 — Beveiligde authenticatie: Gedeeltelijk compliant</w:t>
      </w:r>
    </w:p>
    <w:p>
      <w:pPr/>
      <w:r>
        <w:t>Aandachtspunten: (1) Hoog — de default brute-force-drempel van 100 is voor een zorgomgeving te lax (best practice 5–10), en de in-memory counter per servlet-instance is een ontwerprisico bij multi-server-deployments (8.5-5). (2) Medium — wachtwoordherstel laat gebruikersenumeratie toe via response-divergentie en stelt geen vervaldatum op het tijdelijke wachtwoord (8.5-6).</w:t>
      </w:r>
    </w:p>
    <w:p>
      <w:pPr>
        <w:pStyle w:val="Kop3"/>
      </w:pPr>
      <w:r>
        <w:t>A.8.15 — Logging: Niet compliant</w:t>
      </w:r>
    </w:p>
    <w:p>
      <w:pPr/>
      <w:r>
        <w:t>De zwakste control van de drie. Onbevoegde toegangspogingen en uitzonderingen worden gelogd, maar vrijwel alle kritische security-events die NEN-7510 voor een zorgomgeving vereist ontbreken — met name mislukte logins, wachtwoordwijzigingen, administratieve acties (create/purge/retire), impersonatie (becomeUser) en logout. Dat maakt incident-response en forensisch onderzoek praktisch onmogelijk. Het mengen van twee logging-frameworks (Apache Commons Logging + SLF4J) is een aanvullend beheersrisico bij grotere deployments.</w:t>
      </w:r>
    </w:p>
    <w:p w14:paraId="7B1ED397" w14:textId="77777777" w:rsidR="00DA1303" w:rsidRPr="00E2191E" w:rsidRDefault="001E7F7C">
      <w:pPr>
        <w:pStyle w:val="Kop1"/>
        <w:rPr>
          <w:lang w:val="nl-NL"/>
        </w:rPr>
      </w:pPr>
      <w:bookmarkStart w:id="8" w:name="_Toc231398331"/>
      <w:r w:rsidRPr="00E2191E">
        <w:rPr>
          <w:lang w:val="nl-NL"/>
        </w:rPr>
        <w:t>4. Asset-inventaris</w:t>
      </w:r>
      <w:bookmarkEnd w:id="8"/>
    </w:p>
    <w:p w14:paraId="1B97C106" w14:textId="77777777" w:rsidR="00DA1303" w:rsidRPr="00E2191E" w:rsidRDefault="001E7F7C">
      <w:pPr>
        <w:spacing w:after="120"/>
        <w:rPr>
          <w:lang w:val="nl-NL"/>
        </w:rPr>
      </w:pPr>
      <w:r>
        <w:t>De asset-inventaris bestaat uit de kroonjuwelen — de datatypes die de module verwerkt of ontsluit — en het aanvalsoppervlak (de entry points). De kroonjuwelen voeden het Risk Assessment Report; de BIV-classificatie volgt de impactschaal uit risicocriteria.md.</w:t>
      </w:r>
    </w:p>
    <w:p>
      <w:pPr>
        <w:pStyle w:val="Kop3"/>
      </w:pPr>
      <w:r>
        <w:t>Kroonjuwelen</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Kroonjuweel</w:t>
            </w:r>
          </w:p>
        </w:tc>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Verwerkt door (referentie)</w:t>
            </w:r>
          </w:p>
        </w:tc>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Aard</w:t>
            </w:r>
          </w:p>
        </w:tc>
      </w:tr>
      <w:tr>
        <w:tc>
          <w:tcPr>
            <w:tcW w:type="dxa" w:w="3120"/>
            <w:tcBorders>
              <w:top w:val="single" w:sz="1" w:space="0" w:color="CCCCCC"/>
              <w:left w:val="single" w:sz="1" w:space="0" w:color="CCCCCC"/>
              <w:bottom w:val="single" w:sz="1" w:space="0" w:color="CCCCCC"/>
              <w:right w:val="single" w:sz="1" w:space="0" w:color="CCCCCC"/>
            </w:tcBorders>
          </w:tcPr>
          <w:p>
            <w:r>
              <w:t>Patiëntdossier (encounters, observaties)</w:t>
            </w:r>
          </w:p>
        </w:tc>
        <w:tc>
          <w:tcPr>
            <w:tcW w:type="dxa" w:w="3120"/>
            <w:tcBorders>
              <w:top w:val="single" w:sz="1" w:space="0" w:color="CCCCCC"/>
              <w:left w:val="single" w:sz="1" w:space="0" w:color="CCCCCC"/>
              <w:bottom w:val="single" w:sz="1" w:space="0" w:color="CCCCCC"/>
              <w:right w:val="single" w:sz="1" w:space="0" w:color="CCCCCC"/>
            </w:tcBorders>
          </w:tcPr>
          <w:p>
            <w:r>
              <w:t>PatientDashboardController, EncounterFormController, ObsFormController</w:t>
            </w:r>
          </w:p>
        </w:tc>
        <w:tc>
          <w:tcPr>
            <w:tcW w:type="dxa" w:w="3120"/>
            <w:tcBorders>
              <w:top w:val="single" w:sz="1" w:space="0" w:color="CCCCCC"/>
              <w:left w:val="single" w:sz="1" w:space="0" w:color="CCCCCC"/>
              <w:bottom w:val="single" w:sz="1" w:space="0" w:color="CCCCCC"/>
              <w:right w:val="single" w:sz="1" w:space="0" w:color="CCCCCC"/>
            </w:tcBorders>
          </w:tcPr>
          <w:p>
            <w:r>
              <w:t>Gezondheidsdata, AVG art. 9</w:t>
            </w:r>
          </w:p>
        </w:tc>
      </w:tr>
      <w:tr>
        <w:tc>
          <w:tcPr>
            <w:tcW w:type="dxa" w:w="3120"/>
            <w:tcBorders>
              <w:top w:val="single" w:sz="1" w:space="0" w:color="CCCCCC"/>
              <w:left w:val="single" w:sz="1" w:space="0" w:color="CCCCCC"/>
              <w:bottom w:val="single" w:sz="1" w:space="0" w:color="CCCCCC"/>
              <w:right w:val="single" w:sz="1" w:space="0" w:color="CCCCCC"/>
            </w:tcBorders>
          </w:tcPr>
          <w:p>
            <w:r>
              <w:t>Persoons- &amp; identificatiegegevens</w:t>
            </w:r>
          </w:p>
        </w:tc>
        <w:tc>
          <w:tcPr>
            <w:tcW w:type="dxa" w:w="3120"/>
            <w:tcBorders>
              <w:top w:val="single" w:sz="1" w:space="0" w:color="CCCCCC"/>
              <w:left w:val="single" w:sz="1" w:space="0" w:color="CCCCCC"/>
              <w:bottom w:val="single" w:sz="1" w:space="0" w:color="CCCCCC"/>
              <w:right w:val="single" w:sz="1" w:space="0" w:color="CCCCCC"/>
            </w:tcBorders>
          </w:tcPr>
          <w:p>
            <w:r>
              <w:t>PersonFormController, ShortPatientFormController, PatientIdentifierTypeFormController</w:t>
            </w:r>
          </w:p>
        </w:tc>
        <w:tc>
          <w:tcPr>
            <w:tcW w:type="dxa" w:w="3120"/>
            <w:tcBorders>
              <w:top w:val="single" w:sz="1" w:space="0" w:color="CCCCCC"/>
              <w:left w:val="single" w:sz="1" w:space="0" w:color="CCCCCC"/>
              <w:bottom w:val="single" w:sz="1" w:space="0" w:color="CCCCCC"/>
              <w:right w:val="single" w:sz="1" w:space="0" w:color="CCCCCC"/>
            </w:tcBorders>
          </w:tcPr>
          <w:p>
            <w:r>
              <w:t>Direct identificerend</w:t>
            </w:r>
          </w:p>
        </w:tc>
      </w:tr>
      <w:tr>
        <w:tc>
          <w:tcPr>
            <w:tcW w:type="dxa" w:w="3120"/>
            <w:tcBorders>
              <w:top w:val="single" w:sz="1" w:space="0" w:color="CCCCCC"/>
              <w:left w:val="single" w:sz="1" w:space="0" w:color="CCCCCC"/>
              <w:bottom w:val="single" w:sz="1" w:space="0" w:color="CCCCCC"/>
              <w:right w:val="single" w:sz="1" w:space="0" w:color="CCCCCC"/>
            </w:tcBorders>
          </w:tcPr>
          <w:p>
            <w:r>
              <w:t>Relaties &amp; programma’s</w:t>
            </w:r>
          </w:p>
        </w:tc>
        <w:tc>
          <w:tcPr>
            <w:tcW w:type="dxa" w:w="3120"/>
            <w:tcBorders>
              <w:top w:val="single" w:sz="1" w:space="0" w:color="CCCCCC"/>
              <w:left w:val="single" w:sz="1" w:space="0" w:color="CCCCCC"/>
              <w:bottom w:val="single" w:sz="1" w:space="0" w:color="CCCCCC"/>
              <w:right w:val="single" w:sz="1" w:space="0" w:color="CCCCCC"/>
            </w:tcBorders>
          </w:tcPr>
          <w:p>
            <w:r>
              <w:t>PersonRelationshipsPortletController, PatientProgramFormController</w:t>
            </w:r>
          </w:p>
        </w:tc>
        <w:tc>
          <w:tcPr>
            <w:tcW w:type="dxa" w:w="3120"/>
            <w:tcBorders>
              <w:top w:val="single" w:sz="1" w:space="0" w:color="CCCCCC"/>
              <w:left w:val="single" w:sz="1" w:space="0" w:color="CCCCCC"/>
              <w:bottom w:val="single" w:sz="1" w:space="0" w:color="CCCCCC"/>
              <w:right w:val="single" w:sz="1" w:space="0" w:color="CCCCCC"/>
            </w:tcBorders>
          </w:tcPr>
          <w:p>
            <w:r>
              <w:t>Afgeleide gezondheidscontext</w:t>
            </w:r>
          </w:p>
        </w:tc>
      </w:tr>
      <w:tr>
        <w:tc>
          <w:tcPr>
            <w:tcW w:type="dxa" w:w="3120"/>
            <w:tcBorders>
              <w:top w:val="single" w:sz="1" w:space="0" w:color="CCCCCC"/>
              <w:left w:val="single" w:sz="1" w:space="0" w:color="CCCCCC"/>
              <w:bottom w:val="single" w:sz="1" w:space="0" w:color="CCCCCC"/>
              <w:right w:val="single" w:sz="1" w:space="0" w:color="CCCCCC"/>
            </w:tcBorders>
          </w:tcPr>
          <w:p>
            <w:r>
              <w:t>Gebruikers- &amp; toegangsbeheer</w:t>
            </w:r>
          </w:p>
        </w:tc>
        <w:tc>
          <w:tcPr>
            <w:tcW w:type="dxa" w:w="3120"/>
            <w:tcBorders>
              <w:top w:val="single" w:sz="1" w:space="0" w:color="CCCCCC"/>
              <w:left w:val="single" w:sz="1" w:space="0" w:color="CCCCCC"/>
              <w:bottom w:val="single" w:sz="1" w:space="0" w:color="CCCCCC"/>
              <w:right w:val="single" w:sz="1" w:space="0" w:color="CCCCCC"/>
            </w:tcBorders>
          </w:tcPr>
          <w:p>
            <w:r>
              <w:t>UserFormController, UserListController, ChangePasswordFormController</w:t>
            </w:r>
          </w:p>
        </w:tc>
        <w:tc>
          <w:tcPr>
            <w:tcW w:type="dxa" w:w="3120"/>
            <w:tcBorders>
              <w:top w:val="single" w:sz="1" w:space="0" w:color="CCCCCC"/>
              <w:left w:val="single" w:sz="1" w:space="0" w:color="CCCCCC"/>
              <w:bottom w:val="single" w:sz="1" w:space="0" w:color="CCCCCC"/>
              <w:right w:val="single" w:sz="1" w:space="0" w:color="CCCCCC"/>
            </w:tcBorders>
          </w:tcPr>
          <w:p>
            <w:r>
              <w:t>Credentials, rollen, privileges</w:t>
            </w:r>
          </w:p>
        </w:tc>
      </w:tr>
      <w:tr>
        <w:tc>
          <w:tcPr>
            <w:tcW w:type="dxa" w:w="3120"/>
            <w:tcBorders>
              <w:top w:val="single" w:sz="1" w:space="0" w:color="CCCCCC"/>
              <w:left w:val="single" w:sz="1" w:space="0" w:color="CCCCCC"/>
              <w:bottom w:val="single" w:sz="1" w:space="0" w:color="CCCCCC"/>
              <w:right w:val="single" w:sz="1" w:space="0" w:color="CCCCCC"/>
            </w:tcBorders>
          </w:tcPr>
          <w:p>
            <w:r>
              <w:t>Audit-/loggegevens</w:t>
            </w:r>
          </w:p>
        </w:tc>
        <w:tc>
          <w:tcPr>
            <w:tcW w:type="dxa" w:w="3120"/>
            <w:tcBorders>
              <w:top w:val="single" w:sz="1" w:space="0" w:color="CCCCCC"/>
              <w:left w:val="single" w:sz="1" w:space="0" w:color="CCCCCC"/>
              <w:bottom w:val="single" w:sz="1" w:space="0" w:color="CCCCCC"/>
              <w:right w:val="single" w:sz="1" w:space="0" w:color="CCCCCC"/>
            </w:tcBorders>
          </w:tcPr>
          <w:p>
            <w:r>
              <w:t>ontbreekt grotendeels (gap 8.15)</w:t>
            </w:r>
          </w:p>
        </w:tc>
        <w:tc>
          <w:tcPr>
            <w:tcW w:type="dxa" w:w="3120"/>
            <w:tcBorders>
              <w:top w:val="single" w:sz="1" w:space="0" w:color="CCCCCC"/>
              <w:left w:val="single" w:sz="1" w:space="0" w:color="CCCCCC"/>
              <w:bottom w:val="single" w:sz="1" w:space="0" w:color="CCCCCC"/>
              <w:right w:val="single" w:sz="1" w:space="0" w:color="CCCCCC"/>
            </w:tcBorders>
          </w:tcPr>
          <w:p>
            <w:r>
              <w:t>Bewijs wie-wat-wanneer</w:t>
            </w:r>
          </w:p>
        </w:tc>
      </w:tr>
    </w:tbl>
    <w:p>
      <w:pPr>
        <w:pStyle w:val="Kop3"/>
      </w:pPr>
      <w:r>
        <w:t>BIV-classificatie (1–5)</w:t>
      </w:r>
    </w:p>
    <w:p>
      <w:pPr/>
      <w:r>
        <w:t>B/I/V op een schaal 1–5 (1 = onbelangrijk, 5 = catastrofaal).</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Kroonjuweel</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B</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I</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V</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Onderbouwing</w:t>
            </w:r>
          </w:p>
        </w:tc>
      </w:tr>
      <w:tr>
        <w:tc>
          <w:tcPr>
            <w:tcW w:type="dxa" w:w="1872"/>
            <w:tcBorders>
              <w:top w:val="single" w:sz="1" w:space="0" w:color="CCCCCC"/>
              <w:left w:val="single" w:sz="1" w:space="0" w:color="CCCCCC"/>
              <w:bottom w:val="single" w:sz="1" w:space="0" w:color="CCCCCC"/>
              <w:right w:val="single" w:sz="1" w:space="0" w:color="CCCCCC"/>
            </w:tcBorders>
          </w:tcPr>
          <w:p>
            <w:r>
              <w:t>Patiëntdossier</w:t>
            </w:r>
          </w:p>
        </w:tc>
        <w:tc>
          <w:tcPr>
            <w:tcW w:type="dxa" w:w="1872"/>
            <w:tcBorders>
              <w:top w:val="single" w:sz="1" w:space="0" w:color="CCCCCC"/>
              <w:left w:val="single" w:sz="1" w:space="0" w:color="CCCCCC"/>
              <w:bottom w:val="single" w:sz="1" w:space="0" w:color="CCCCCC"/>
              <w:right w:val="single" w:sz="1" w:space="0" w:color="CCCCCC"/>
            </w:tcBorders>
          </w:tcPr>
          <w:p>
            <w:r>
              <w:t>4</w:t>
            </w:r>
          </w:p>
        </w:tc>
        <w:tc>
          <w:tcPr>
            <w:tcW w:type="dxa" w:w="1872"/>
            <w:tcBorders>
              <w:top w:val="single" w:sz="1" w:space="0" w:color="CCCCCC"/>
              <w:left w:val="single" w:sz="1" w:space="0" w:color="CCCCCC"/>
              <w:bottom w:val="single" w:sz="1" w:space="0" w:color="CCCCCC"/>
              <w:right w:val="single" w:sz="1" w:space="0" w:color="CCCCCC"/>
            </w:tcBorders>
          </w:tcPr>
          <w:p>
            <w:r>
              <w:t>5</w:t>
            </w:r>
          </w:p>
        </w:tc>
        <w:tc>
          <w:tcPr>
            <w:tcW w:type="dxa" w:w="1872"/>
            <w:tcBorders>
              <w:top w:val="single" w:sz="1" w:space="0" w:color="CCCCCC"/>
              <w:left w:val="single" w:sz="1" w:space="0" w:color="CCCCCC"/>
              <w:bottom w:val="single" w:sz="1" w:space="0" w:color="CCCCCC"/>
              <w:right w:val="single" w:sz="1" w:space="0" w:color="CCCCCC"/>
            </w:tcBorders>
          </w:tcPr>
          <w:p>
            <w:r>
              <w:t>5</w:t>
            </w:r>
          </w:p>
        </w:tc>
        <w:tc>
          <w:tcPr>
            <w:tcW w:type="dxa" w:w="1872"/>
            <w:tcBorders>
              <w:top w:val="single" w:sz="1" w:space="0" w:color="CCCCCC"/>
              <w:left w:val="single" w:sz="1" w:space="0" w:color="CCCCCC"/>
              <w:bottom w:val="single" w:sz="1" w:space="0" w:color="CCCCCC"/>
              <w:right w:val="single" w:sz="1" w:space="0" w:color="CCCCCC"/>
            </w:tcBorders>
          </w:tcPr>
          <w:p>
            <w:r>
              <w:t>Foutief dossier raakt behandelbeslissingen; lek = art. 9-datalek. B=4: zorg kan kort op papier door.</w:t>
            </w:r>
          </w:p>
        </w:tc>
      </w:tr>
      <w:tr>
        <w:tc>
          <w:tcPr>
            <w:tcW w:type="dxa" w:w="1872"/>
            <w:tcBorders>
              <w:top w:val="single" w:sz="1" w:space="0" w:color="CCCCCC"/>
              <w:left w:val="single" w:sz="1" w:space="0" w:color="CCCCCC"/>
              <w:bottom w:val="single" w:sz="1" w:space="0" w:color="CCCCCC"/>
              <w:right w:val="single" w:sz="1" w:space="0" w:color="CCCCCC"/>
            </w:tcBorders>
          </w:tcPr>
          <w:p>
            <w:r>
              <w:t>Persoons-/identificatiegegevens</w:t>
            </w:r>
          </w:p>
        </w:tc>
        <w:tc>
          <w:tcPr>
            <w:tcW w:type="dxa" w:w="1872"/>
            <w:tcBorders>
              <w:top w:val="single" w:sz="1" w:space="0" w:color="CCCCCC"/>
              <w:left w:val="single" w:sz="1" w:space="0" w:color="CCCCCC"/>
              <w:bottom w:val="single" w:sz="1" w:space="0" w:color="CCCCCC"/>
              <w:right w:val="single" w:sz="1" w:space="0" w:color="CCCCCC"/>
            </w:tcBorders>
          </w:tcPr>
          <w:p>
            <w:r>
              <w:t>3</w:t>
            </w:r>
          </w:p>
        </w:tc>
        <w:tc>
          <w:tcPr>
            <w:tcW w:type="dxa" w:w="1872"/>
            <w:tcBorders>
              <w:top w:val="single" w:sz="1" w:space="0" w:color="CCCCCC"/>
              <w:left w:val="single" w:sz="1" w:space="0" w:color="CCCCCC"/>
              <w:bottom w:val="single" w:sz="1" w:space="0" w:color="CCCCCC"/>
              <w:right w:val="single" w:sz="1" w:space="0" w:color="CCCCCC"/>
            </w:tcBorders>
          </w:tcPr>
          <w:p>
            <w:r>
              <w:t>4</w:t>
            </w:r>
          </w:p>
        </w:tc>
        <w:tc>
          <w:tcPr>
            <w:tcW w:type="dxa" w:w="1872"/>
            <w:tcBorders>
              <w:top w:val="single" w:sz="1" w:space="0" w:color="CCCCCC"/>
              <w:left w:val="single" w:sz="1" w:space="0" w:color="CCCCCC"/>
              <w:bottom w:val="single" w:sz="1" w:space="0" w:color="CCCCCC"/>
              <w:right w:val="single" w:sz="1" w:space="0" w:color="CCCCCC"/>
            </w:tcBorders>
          </w:tcPr>
          <w:p>
            <w:r>
              <w:t>5</w:t>
            </w:r>
          </w:p>
        </w:tc>
        <w:tc>
          <w:tcPr>
            <w:tcW w:type="dxa" w:w="1872"/>
            <w:tcBorders>
              <w:top w:val="single" w:sz="1" w:space="0" w:color="CCCCCC"/>
              <w:left w:val="single" w:sz="1" w:space="0" w:color="CCCCCC"/>
              <w:bottom w:val="single" w:sz="1" w:space="0" w:color="CCCCCC"/>
              <w:right w:val="single" w:sz="1" w:space="0" w:color="CCCCCC"/>
            </w:tcBorders>
          </w:tcPr>
          <w:p>
            <w:r>
              <w:t>Direct identificerend (V=5); foutieve identiteit → dossierverwisseling.</w:t>
            </w:r>
          </w:p>
        </w:tc>
      </w:tr>
      <w:tr>
        <w:tc>
          <w:tcPr>
            <w:tcW w:type="dxa" w:w="1872"/>
            <w:tcBorders>
              <w:top w:val="single" w:sz="1" w:space="0" w:color="CCCCCC"/>
              <w:left w:val="single" w:sz="1" w:space="0" w:color="CCCCCC"/>
              <w:bottom w:val="single" w:sz="1" w:space="0" w:color="CCCCCC"/>
              <w:right w:val="single" w:sz="1" w:space="0" w:color="CCCCCC"/>
            </w:tcBorders>
          </w:tcPr>
          <w:p>
            <w:r>
              <w:t>Relaties &amp; programma’s</w:t>
            </w:r>
          </w:p>
        </w:tc>
        <w:tc>
          <w:tcPr>
            <w:tcW w:type="dxa" w:w="1872"/>
            <w:tcBorders>
              <w:top w:val="single" w:sz="1" w:space="0" w:color="CCCCCC"/>
              <w:left w:val="single" w:sz="1" w:space="0" w:color="CCCCCC"/>
              <w:bottom w:val="single" w:sz="1" w:space="0" w:color="CCCCCC"/>
              <w:right w:val="single" w:sz="1" w:space="0" w:color="CCCCCC"/>
            </w:tcBorders>
          </w:tcPr>
          <w:p>
            <w:r>
              <w:t>2</w:t>
            </w:r>
          </w:p>
        </w:tc>
        <w:tc>
          <w:tcPr>
            <w:tcW w:type="dxa" w:w="1872"/>
            <w:tcBorders>
              <w:top w:val="single" w:sz="1" w:space="0" w:color="CCCCCC"/>
              <w:left w:val="single" w:sz="1" w:space="0" w:color="CCCCCC"/>
              <w:bottom w:val="single" w:sz="1" w:space="0" w:color="CCCCCC"/>
              <w:right w:val="single" w:sz="1" w:space="0" w:color="CCCCCC"/>
            </w:tcBorders>
          </w:tcPr>
          <w:p>
            <w:r>
              <w:t>3</w:t>
            </w:r>
          </w:p>
        </w:tc>
        <w:tc>
          <w:tcPr>
            <w:tcW w:type="dxa" w:w="1872"/>
            <w:tcBorders>
              <w:top w:val="single" w:sz="1" w:space="0" w:color="CCCCCC"/>
              <w:left w:val="single" w:sz="1" w:space="0" w:color="CCCCCC"/>
              <w:bottom w:val="single" w:sz="1" w:space="0" w:color="CCCCCC"/>
              <w:right w:val="single" w:sz="1" w:space="0" w:color="CCCCCC"/>
            </w:tcBorders>
          </w:tcPr>
          <w:p>
            <w:r>
              <w:t>4</w:t>
            </w:r>
          </w:p>
        </w:tc>
        <w:tc>
          <w:tcPr>
            <w:tcW w:type="dxa" w:w="1872"/>
            <w:tcBorders>
              <w:top w:val="single" w:sz="1" w:space="0" w:color="CCCCCC"/>
              <w:left w:val="single" w:sz="1" w:space="0" w:color="CCCCCC"/>
              <w:bottom w:val="single" w:sz="1" w:space="0" w:color="CCCCCC"/>
              <w:right w:val="single" w:sz="1" w:space="0" w:color="CCCCCC"/>
            </w:tcBorders>
          </w:tcPr>
          <w:p>
            <w:r>
              <w:t>Onthult gevoelige context; minder kritiek voor directe behandeling.</w:t>
            </w:r>
          </w:p>
        </w:tc>
      </w:tr>
      <w:tr>
        <w:tc>
          <w:tcPr>
            <w:tcW w:type="dxa" w:w="1872"/>
            <w:tcBorders>
              <w:top w:val="single" w:sz="1" w:space="0" w:color="CCCCCC"/>
              <w:left w:val="single" w:sz="1" w:space="0" w:color="CCCCCC"/>
              <w:bottom w:val="single" w:sz="1" w:space="0" w:color="CCCCCC"/>
              <w:right w:val="single" w:sz="1" w:space="0" w:color="CCCCCC"/>
            </w:tcBorders>
          </w:tcPr>
          <w:p>
            <w:r>
              <w:t>Gebruikers-/toegangsbeheer</w:t>
            </w:r>
          </w:p>
        </w:tc>
        <w:tc>
          <w:tcPr>
            <w:tcW w:type="dxa" w:w="1872"/>
            <w:tcBorders>
              <w:top w:val="single" w:sz="1" w:space="0" w:color="CCCCCC"/>
              <w:left w:val="single" w:sz="1" w:space="0" w:color="CCCCCC"/>
              <w:bottom w:val="single" w:sz="1" w:space="0" w:color="CCCCCC"/>
              <w:right w:val="single" w:sz="1" w:space="0" w:color="CCCCCC"/>
            </w:tcBorders>
          </w:tcPr>
          <w:p>
            <w:r>
              <w:t>3</w:t>
            </w:r>
          </w:p>
        </w:tc>
        <w:tc>
          <w:tcPr>
            <w:tcW w:type="dxa" w:w="1872"/>
            <w:tcBorders>
              <w:top w:val="single" w:sz="1" w:space="0" w:color="CCCCCC"/>
              <w:left w:val="single" w:sz="1" w:space="0" w:color="CCCCCC"/>
              <w:bottom w:val="single" w:sz="1" w:space="0" w:color="CCCCCC"/>
              <w:right w:val="single" w:sz="1" w:space="0" w:color="CCCCCC"/>
            </w:tcBorders>
          </w:tcPr>
          <w:p>
            <w:r>
              <w:t>5</w:t>
            </w:r>
          </w:p>
        </w:tc>
        <w:tc>
          <w:tcPr>
            <w:tcW w:type="dxa" w:w="1872"/>
            <w:tcBorders>
              <w:top w:val="single" w:sz="1" w:space="0" w:color="CCCCCC"/>
              <w:left w:val="single" w:sz="1" w:space="0" w:color="CCCCCC"/>
              <w:bottom w:val="single" w:sz="1" w:space="0" w:color="CCCCCC"/>
              <w:right w:val="single" w:sz="1" w:space="0" w:color="CCCCCC"/>
            </w:tcBorders>
          </w:tcPr>
          <w:p>
            <w:r>
              <w:t>4</w:t>
            </w:r>
          </w:p>
        </w:tc>
        <w:tc>
          <w:tcPr>
            <w:tcW w:type="dxa" w:w="1872"/>
            <w:tcBorders>
              <w:top w:val="single" w:sz="1" w:space="0" w:color="CCCCCC"/>
              <w:left w:val="single" w:sz="1" w:space="0" w:color="CCCCCC"/>
              <w:bottom w:val="single" w:sz="1" w:space="0" w:color="CCCCCC"/>
              <w:right w:val="single" w:sz="1" w:space="0" w:color="CCCCCC"/>
            </w:tcBorders>
          </w:tcPr>
          <w:p>
            <w:r>
              <w:t>I=5: een gemanipuleerd privilege opent álle patiëntdata. Sleutel tot de andere kroonjuwelen.</w:t>
            </w:r>
          </w:p>
        </w:tc>
      </w:tr>
      <w:tr>
        <w:tc>
          <w:tcPr>
            <w:tcW w:type="dxa" w:w="1872"/>
            <w:tcBorders>
              <w:top w:val="single" w:sz="1" w:space="0" w:color="CCCCCC"/>
              <w:left w:val="single" w:sz="1" w:space="0" w:color="CCCCCC"/>
              <w:bottom w:val="single" w:sz="1" w:space="0" w:color="CCCCCC"/>
              <w:right w:val="single" w:sz="1" w:space="0" w:color="CCCCCC"/>
            </w:tcBorders>
          </w:tcPr>
          <w:p>
            <w:r>
              <w:t>Audit-/loggegevens</w:t>
            </w:r>
          </w:p>
        </w:tc>
        <w:tc>
          <w:tcPr>
            <w:tcW w:type="dxa" w:w="1872"/>
            <w:tcBorders>
              <w:top w:val="single" w:sz="1" w:space="0" w:color="CCCCCC"/>
              <w:left w:val="single" w:sz="1" w:space="0" w:color="CCCCCC"/>
              <w:bottom w:val="single" w:sz="1" w:space="0" w:color="CCCCCC"/>
              <w:right w:val="single" w:sz="1" w:space="0" w:color="CCCCCC"/>
            </w:tcBorders>
          </w:tcPr>
          <w:p>
            <w:r>
              <w:t>3</w:t>
            </w:r>
          </w:p>
        </w:tc>
        <w:tc>
          <w:tcPr>
            <w:tcW w:type="dxa" w:w="1872"/>
            <w:tcBorders>
              <w:top w:val="single" w:sz="1" w:space="0" w:color="CCCCCC"/>
              <w:left w:val="single" w:sz="1" w:space="0" w:color="CCCCCC"/>
              <w:bottom w:val="single" w:sz="1" w:space="0" w:color="CCCCCC"/>
              <w:right w:val="single" w:sz="1" w:space="0" w:color="CCCCCC"/>
            </w:tcBorders>
          </w:tcPr>
          <w:p>
            <w:r>
              <w:t>4</w:t>
            </w:r>
          </w:p>
        </w:tc>
        <w:tc>
          <w:tcPr>
            <w:tcW w:type="dxa" w:w="1872"/>
            <w:tcBorders>
              <w:top w:val="single" w:sz="1" w:space="0" w:color="CCCCCC"/>
              <w:left w:val="single" w:sz="1" w:space="0" w:color="CCCCCC"/>
              <w:bottom w:val="single" w:sz="1" w:space="0" w:color="CCCCCC"/>
              <w:right w:val="single" w:sz="1" w:space="0" w:color="CCCCCC"/>
            </w:tcBorders>
          </w:tcPr>
          <w:p>
            <w:r>
              <w:t>2</w:t>
            </w:r>
          </w:p>
        </w:tc>
        <w:tc>
          <w:tcPr>
            <w:tcW w:type="dxa" w:w="1872"/>
            <w:tcBorders>
              <w:top w:val="single" w:sz="1" w:space="0" w:color="CCCCCC"/>
              <w:left w:val="single" w:sz="1" w:space="0" w:color="CCCCCC"/>
              <w:bottom w:val="single" w:sz="1" w:space="0" w:color="CCCCCC"/>
              <w:right w:val="single" w:sz="1" w:space="0" w:color="CCCCCC"/>
            </w:tcBorders>
          </w:tcPr>
          <w:p>
            <w:r>
              <w:t>Bewijswaarde (NEN 8.15); feitelijke bescherming laag doordat logging ontbreekt.</w:t>
            </w:r>
          </w:p>
        </w:tc>
      </w:tr>
    </w:tbl>
    <w:p>
      <w:pPr/>
      <w:r>
        <w:t>De zwaarst geclassificeerde data (patiëntdossier I/V=5, toegangsbeheer I=5) onderbouwt waarom variant B (≥10 onacceptabel) op deze module van toepassing is.</w:t>
      </w:r>
    </w:p>
    <w:p>
      <w:pPr>
        <w:pStyle w:val="Kop3"/>
      </w:pPr>
      <w:r>
        <w:t>Entry points (aanvalsoppervlak, NEN-7510 8.25)</w:t>
      </w:r>
    </w:p>
    <w:p>
      <w:pPr/>
      <w:r>
        <w:t>Statische broncode-inspectie identificeerde 34 entry points (HTTP-endpoints plus DWR-methoden). De risicoverdeling:</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tcBorders>
              <w:top w:val="single" w:sz="1" w:space="0" w:color="CCCCCC"/>
              <w:left w:val="single" w:sz="1" w:space="0" w:color="CCCCCC"/>
              <w:bottom w:val="single" w:sz="1" w:space="0" w:color="CCCCCC"/>
              <w:right w:val="single" w:sz="1" w:space="0" w:color="CCCCCC"/>
            </w:tcBorders>
            <w:shd w:val="clear" w:color="auto" w:fill="D5E8F0"/>
          </w:tcPr>
          <w:p>
            <w:r>
              <w:rPr>
                <w:b/>
              </w:rPr>
              <w:t>Risico</w:t>
            </w:r>
          </w:p>
        </w:tc>
        <w:tc>
          <w:tcPr>
            <w:tcW w:type="dxa" w:w="4680"/>
            <w:tcBorders>
              <w:top w:val="single" w:sz="1" w:space="0" w:color="CCCCCC"/>
              <w:left w:val="single" w:sz="1" w:space="0" w:color="CCCCCC"/>
              <w:bottom w:val="single" w:sz="1" w:space="0" w:color="CCCCCC"/>
              <w:right w:val="single" w:sz="1" w:space="0" w:color="CCCCCC"/>
            </w:tcBorders>
            <w:shd w:val="clear" w:color="auto" w:fill="D5E8F0"/>
          </w:tcPr>
          <w:p>
            <w:r>
              <w:rPr>
                <w:b/>
              </w:rPr>
              <w:t>Aantal</w:t>
            </w:r>
          </w:p>
        </w:tc>
      </w:tr>
      <w:tr>
        <w:tc>
          <w:tcPr>
            <w:tcW w:type="dxa" w:w="4680"/>
            <w:tcBorders>
              <w:top w:val="single" w:sz="1" w:space="0" w:color="CCCCCC"/>
              <w:left w:val="single" w:sz="1" w:space="0" w:color="CCCCCC"/>
              <w:bottom w:val="single" w:sz="1" w:space="0" w:color="CCCCCC"/>
              <w:right w:val="single" w:sz="1" w:space="0" w:color="CCCCCC"/>
            </w:tcBorders>
          </w:tcPr>
          <w:p>
            <w:r>
              <w:t>🔴 HIGH</w:t>
            </w:r>
          </w:p>
        </w:tc>
        <w:tc>
          <w:tcPr>
            <w:tcW w:type="dxa" w:w="4680"/>
            <w:tcBorders>
              <w:top w:val="single" w:sz="1" w:space="0" w:color="CCCCCC"/>
              <w:left w:val="single" w:sz="1" w:space="0" w:color="CCCCCC"/>
              <w:bottom w:val="single" w:sz="1" w:space="0" w:color="CCCCCC"/>
              <w:right w:val="single" w:sz="1" w:space="0" w:color="CCCCCC"/>
            </w:tcBorders>
          </w:tcPr>
          <w:p>
            <w:r>
              <w:t>5</w:t>
            </w:r>
          </w:p>
        </w:tc>
      </w:tr>
      <w:tr>
        <w:tc>
          <w:tcPr>
            <w:tcW w:type="dxa" w:w="4680"/>
            <w:tcBorders>
              <w:top w:val="single" w:sz="1" w:space="0" w:color="CCCCCC"/>
              <w:left w:val="single" w:sz="1" w:space="0" w:color="CCCCCC"/>
              <w:bottom w:val="single" w:sz="1" w:space="0" w:color="CCCCCC"/>
              <w:right w:val="single" w:sz="1" w:space="0" w:color="CCCCCC"/>
            </w:tcBorders>
          </w:tcPr>
          <w:p>
            <w:r>
              <w:t>🟡 MEDIUM</w:t>
            </w:r>
          </w:p>
        </w:tc>
        <w:tc>
          <w:tcPr>
            <w:tcW w:type="dxa" w:w="4680"/>
            <w:tcBorders>
              <w:top w:val="single" w:sz="1" w:space="0" w:color="CCCCCC"/>
              <w:left w:val="single" w:sz="1" w:space="0" w:color="CCCCCC"/>
              <w:bottom w:val="single" w:sz="1" w:space="0" w:color="CCCCCC"/>
              <w:right w:val="single" w:sz="1" w:space="0" w:color="CCCCCC"/>
            </w:tcBorders>
          </w:tcPr>
          <w:p>
            <w:r>
              <w:t>22</w:t>
            </w:r>
          </w:p>
        </w:tc>
      </w:tr>
      <w:tr>
        <w:tc>
          <w:tcPr>
            <w:tcW w:type="dxa" w:w="4680"/>
            <w:tcBorders>
              <w:top w:val="single" w:sz="1" w:space="0" w:color="CCCCCC"/>
              <w:left w:val="single" w:sz="1" w:space="0" w:color="CCCCCC"/>
              <w:bottom w:val="single" w:sz="1" w:space="0" w:color="CCCCCC"/>
              <w:right w:val="single" w:sz="1" w:space="0" w:color="CCCCCC"/>
            </w:tcBorders>
          </w:tcPr>
          <w:p>
            <w:r>
              <w:t>🟢 LOW</w:t>
            </w:r>
          </w:p>
        </w:tc>
        <w:tc>
          <w:tcPr>
            <w:tcW w:type="dxa" w:w="4680"/>
            <w:tcBorders>
              <w:top w:val="single" w:sz="1" w:space="0" w:color="CCCCCC"/>
              <w:left w:val="single" w:sz="1" w:space="0" w:color="CCCCCC"/>
              <w:bottom w:val="single" w:sz="1" w:space="0" w:color="CCCCCC"/>
              <w:right w:val="single" w:sz="1" w:space="0" w:color="CCCCCC"/>
            </w:tcBorders>
          </w:tcPr>
          <w:p>
            <w:r>
              <w:t>7</w:t>
            </w:r>
          </w:p>
        </w:tc>
      </w:tr>
      <w:tr>
        <w:tc>
          <w:tcPr>
            <w:tcW w:type="dxa" w:w="4680"/>
            <w:tcBorders>
              <w:top w:val="single" w:sz="1" w:space="0" w:color="CCCCCC"/>
              <w:left w:val="single" w:sz="1" w:space="0" w:color="CCCCCC"/>
              <w:bottom w:val="single" w:sz="1" w:space="0" w:color="CCCCCC"/>
              <w:right w:val="single" w:sz="1" w:space="0" w:color="CCCCCC"/>
            </w:tcBorders>
          </w:tcPr>
          <w:p>
            <w:r>
              <w:t>Totaal endpoints</w:t>
            </w:r>
          </w:p>
        </w:tc>
        <w:tc>
          <w:tcPr>
            <w:tcW w:type="dxa" w:w="4680"/>
            <w:tcBorders>
              <w:top w:val="single" w:sz="1" w:space="0" w:color="CCCCCC"/>
              <w:left w:val="single" w:sz="1" w:space="0" w:color="CCCCCC"/>
              <w:bottom w:val="single" w:sz="1" w:space="0" w:color="CCCCCC"/>
              <w:right w:val="single" w:sz="1" w:space="0" w:color="CCCCCC"/>
            </w:tcBorders>
          </w:tcPr>
          <w:p>
            <w:r>
              <w:t>34</w:t>
            </w:r>
          </w:p>
        </w:tc>
      </w:tr>
    </w:tbl>
    <w:p>
      <w:pPr/>
      <w:r>
        <w:t>De vijf hoog-risico entry points:</w:t>
      </w:r>
    </w:p>
    <w:p>
      <w:pPr>
        <w:pStyle w:val="Lijstalinea"/>
        <w:numPr>
          <w:ilvl w:val="0"/>
          <w:numId w:val="2"/>
        </w:numPr>
      </w:pPr>
      <w:r>
        <w:t>remotecommunication/postHl7.form — plaintext credentials in POST-body + ongecheckte HL7-invoer (PostHl7Controller.java:38-45).</w:t>
      </w:r>
    </w:p>
    <w:p>
      <w:pPr>
        <w:pStyle w:val="Lijstalinea"/>
        <w:numPr>
          <w:ilvl w:val="0"/>
          <w:numId w:val="2"/>
        </w:numPr>
      </w:pPr>
      <w:r>
        <w:t>admin/modules/module.list (action=upload) — .omod-upload met RCE-risico; downloadURL is een tweede SSRF-vector (ModuleListController.java:99-151).</w:t>
      </w:r>
    </w:p>
    <w:p>
      <w:pPr>
        <w:pStyle w:val="Lijstalinea"/>
        <w:numPr>
          <w:ilvl w:val="0"/>
          <w:numId w:val="2"/>
        </w:numPr>
      </w:pPr>
      <w:r>
        <w:t>admin/modules/manage/fetchModuleDetails.form — SSRF via new java.net.URL(url).openStream() zonder validatie (ModuleManagementController.java:50-53).</w:t>
      </w:r>
    </w:p>
    <w:p>
      <w:pPr>
        <w:pStyle w:val="Lijstalinea"/>
        <w:numPr>
          <w:ilvl w:val="0"/>
          <w:numId w:val="2"/>
        </w:numPr>
      </w:pPr>
      <w:r>
        <w:t>admin/maintenance/globalProps.form — systeemconfiguratie wijzigbaar met alleen isAuthenticated(), geen MANAGE_GLOBAL_PROPERTIES-check (GlobalPropertyController.java:70).</w:t>
      </w:r>
    </w:p>
    <w:p>
      <w:pPr>
        <w:pStyle w:val="Lijstalinea"/>
        <w:numPr>
          <w:ilvl w:val="0"/>
          <w:numId w:val="2"/>
        </w:numPr>
      </w:pPr>
      <w:r>
        <w:t>DWRAdministrationService.setGlobalProperty — schrijftoegang systeemconfig zonder privilege-check in de DWR-methode (DWRAdministrationService.java:36).</w:t>
      </w:r>
    </w:p>
    <w:p>
      <w:pPr/>
      <w:r>
        <w:t>De volledige entry-point-tabel (HTTP-controllers, DWR-services, JSP-formulieren) staat in bijlage G (attack-surface-tabel.md).</w:t>
      </w:r>
    </w:p>
    <w:p w14:paraId="27D4C784" w14:textId="77777777" w:rsidR="00DA1303" w:rsidRPr="00E2191E" w:rsidRDefault="001E7F7C">
      <w:pPr>
        <w:pStyle w:val="Kop1"/>
        <w:rPr>
          <w:lang w:val="nl-NL"/>
        </w:rPr>
      </w:pPr>
      <w:bookmarkStart w:id="9" w:name="_Toc231398332"/>
      <w:r w:rsidRPr="00E2191E">
        <w:rPr>
          <w:lang w:val="nl-NL"/>
        </w:rPr>
        <w:t>5. Risicomatrix</w:t>
      </w:r>
      <w:bookmarkEnd w:id="9"/>
    </w:p>
    <w:p w14:paraId="21ED102E" w14:textId="77777777" w:rsidR="00DA1303" w:rsidRPr="00E2191E" w:rsidRDefault="001E7F7C">
      <w:pPr>
        <w:spacing w:after="120"/>
        <w:rPr>
          <w:lang w:val="nl-NL"/>
        </w:rPr>
      </w:pPr>
      <w:r>
        <w:t>De risico’s worden gewogen met Risico = Kans × Impact (1–5 × 1–5 → 1–25). Kans = Blootstelling × Waarschijnlijkheid (is de kwetsbaarheid aanwezig/bereikbaar en hoe groot is de kans dat iemand die benut); Impact = ernst voor de CIA-triad.</w:t>
      </w:r>
    </w:p>
    <w:p>
      <w:pPr>
        <w:pStyle w:val="Kop3"/>
      </w:pPr>
      <w:r>
        <w:t>Risicoscore-matrix</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Impact 1</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Impact 2</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Impact 3</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Impact 4</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Impact 5</w:t>
            </w:r>
          </w:p>
        </w:tc>
      </w:tr>
      <w:tr>
        <w:tc>
          <w:tcPr>
            <w:tcW w:type="dxa" w:w="1560"/>
            <w:tcBorders>
              <w:top w:val="single" w:sz="1" w:space="0" w:color="CCCCCC"/>
              <w:left w:val="single" w:sz="1" w:space="0" w:color="CCCCCC"/>
              <w:bottom w:val="single" w:sz="1" w:space="0" w:color="CCCCCC"/>
              <w:right w:val="single" w:sz="1" w:space="0" w:color="CCCCCC"/>
            </w:tcBorders>
          </w:tcPr>
          <w:p>
            <w:r>
              <w:t>Kans 5</w:t>
            </w:r>
          </w:p>
        </w:tc>
        <w:tc>
          <w:tcPr>
            <w:tcW w:type="dxa" w:w="1560"/>
            <w:tcBorders>
              <w:top w:val="single" w:sz="1" w:space="0" w:color="CCCCCC"/>
              <w:left w:val="single" w:sz="1" w:space="0" w:color="CCCCCC"/>
              <w:bottom w:val="single" w:sz="1" w:space="0" w:color="CCCCCC"/>
              <w:right w:val="single" w:sz="1" w:space="0" w:color="CCCCCC"/>
            </w:tcBorders>
          </w:tcPr>
          <w:p>
            <w:r>
              <w:t>5</w:t>
            </w:r>
          </w:p>
        </w:tc>
        <w:tc>
          <w:tcPr>
            <w:tcW w:type="dxa" w:w="1560"/>
            <w:tcBorders>
              <w:top w:val="single" w:sz="1" w:space="0" w:color="CCCCCC"/>
              <w:left w:val="single" w:sz="1" w:space="0" w:color="CCCCCC"/>
              <w:bottom w:val="single" w:sz="1" w:space="0" w:color="CCCCCC"/>
              <w:right w:val="single" w:sz="1" w:space="0" w:color="CCCCCC"/>
            </w:tcBorders>
          </w:tcPr>
          <w:p>
            <w:r>
              <w:t>10</w:t>
            </w:r>
          </w:p>
        </w:tc>
        <w:tc>
          <w:tcPr>
            <w:tcW w:type="dxa" w:w="1560"/>
            <w:tcBorders>
              <w:top w:val="single" w:sz="1" w:space="0" w:color="CCCCCC"/>
              <w:left w:val="single" w:sz="1" w:space="0" w:color="CCCCCC"/>
              <w:bottom w:val="single" w:sz="1" w:space="0" w:color="CCCCCC"/>
              <w:right w:val="single" w:sz="1" w:space="0" w:color="CCCCCC"/>
            </w:tcBorders>
          </w:tcPr>
          <w:p>
            <w:r>
              <w:t>15</w:t>
            </w:r>
          </w:p>
        </w:tc>
        <w:tc>
          <w:tcPr>
            <w:tcW w:type="dxa" w:w="1560"/>
            <w:tcBorders>
              <w:top w:val="single" w:sz="1" w:space="0" w:color="CCCCCC"/>
              <w:left w:val="single" w:sz="1" w:space="0" w:color="CCCCCC"/>
              <w:bottom w:val="single" w:sz="1" w:space="0" w:color="CCCCCC"/>
              <w:right w:val="single" w:sz="1" w:space="0" w:color="CCCCCC"/>
            </w:tcBorders>
          </w:tcPr>
          <w:p>
            <w:r>
              <w:t>20</w:t>
            </w:r>
          </w:p>
        </w:tc>
        <w:tc>
          <w:tcPr>
            <w:tcW w:type="dxa" w:w="1560"/>
            <w:tcBorders>
              <w:top w:val="single" w:sz="1" w:space="0" w:color="CCCCCC"/>
              <w:left w:val="single" w:sz="1" w:space="0" w:color="CCCCCC"/>
              <w:bottom w:val="single" w:sz="1" w:space="0" w:color="CCCCCC"/>
              <w:right w:val="single" w:sz="1" w:space="0" w:color="CCCCCC"/>
            </w:tcBorders>
          </w:tcPr>
          <w:p>
            <w:r>
              <w:t>25</w:t>
            </w:r>
          </w:p>
        </w:tc>
      </w:tr>
      <w:tr>
        <w:tc>
          <w:tcPr>
            <w:tcW w:type="dxa" w:w="1560"/>
            <w:tcBorders>
              <w:top w:val="single" w:sz="1" w:space="0" w:color="CCCCCC"/>
              <w:left w:val="single" w:sz="1" w:space="0" w:color="CCCCCC"/>
              <w:bottom w:val="single" w:sz="1" w:space="0" w:color="CCCCCC"/>
              <w:right w:val="single" w:sz="1" w:space="0" w:color="CCCCCC"/>
            </w:tcBorders>
          </w:tcPr>
          <w:p>
            <w:r>
              <w:t>Kans 4</w:t>
            </w:r>
          </w:p>
        </w:tc>
        <w:tc>
          <w:tcPr>
            <w:tcW w:type="dxa" w:w="1560"/>
            <w:tcBorders>
              <w:top w:val="single" w:sz="1" w:space="0" w:color="CCCCCC"/>
              <w:left w:val="single" w:sz="1" w:space="0" w:color="CCCCCC"/>
              <w:bottom w:val="single" w:sz="1" w:space="0" w:color="CCCCCC"/>
              <w:right w:val="single" w:sz="1" w:space="0" w:color="CCCCCC"/>
            </w:tcBorders>
          </w:tcPr>
          <w:p>
            <w:r>
              <w:t>4</w:t>
            </w:r>
          </w:p>
        </w:tc>
        <w:tc>
          <w:tcPr>
            <w:tcW w:type="dxa" w:w="1560"/>
            <w:tcBorders>
              <w:top w:val="single" w:sz="1" w:space="0" w:color="CCCCCC"/>
              <w:left w:val="single" w:sz="1" w:space="0" w:color="CCCCCC"/>
              <w:bottom w:val="single" w:sz="1" w:space="0" w:color="CCCCCC"/>
              <w:right w:val="single" w:sz="1" w:space="0" w:color="CCCCCC"/>
            </w:tcBorders>
          </w:tcPr>
          <w:p>
            <w:r>
              <w:t>8</w:t>
            </w:r>
          </w:p>
        </w:tc>
        <w:tc>
          <w:tcPr>
            <w:tcW w:type="dxa" w:w="1560"/>
            <w:tcBorders>
              <w:top w:val="single" w:sz="1" w:space="0" w:color="CCCCCC"/>
              <w:left w:val="single" w:sz="1" w:space="0" w:color="CCCCCC"/>
              <w:bottom w:val="single" w:sz="1" w:space="0" w:color="CCCCCC"/>
              <w:right w:val="single" w:sz="1" w:space="0" w:color="CCCCCC"/>
            </w:tcBorders>
          </w:tcPr>
          <w:p>
            <w:r>
              <w:t>12</w:t>
            </w:r>
          </w:p>
        </w:tc>
        <w:tc>
          <w:tcPr>
            <w:tcW w:type="dxa" w:w="1560"/>
            <w:tcBorders>
              <w:top w:val="single" w:sz="1" w:space="0" w:color="CCCCCC"/>
              <w:left w:val="single" w:sz="1" w:space="0" w:color="CCCCCC"/>
              <w:bottom w:val="single" w:sz="1" w:space="0" w:color="CCCCCC"/>
              <w:right w:val="single" w:sz="1" w:space="0" w:color="CCCCCC"/>
            </w:tcBorders>
          </w:tcPr>
          <w:p>
            <w:r>
              <w:t>16</w:t>
            </w:r>
          </w:p>
        </w:tc>
        <w:tc>
          <w:tcPr>
            <w:tcW w:type="dxa" w:w="1560"/>
            <w:tcBorders>
              <w:top w:val="single" w:sz="1" w:space="0" w:color="CCCCCC"/>
              <w:left w:val="single" w:sz="1" w:space="0" w:color="CCCCCC"/>
              <w:bottom w:val="single" w:sz="1" w:space="0" w:color="CCCCCC"/>
              <w:right w:val="single" w:sz="1" w:space="0" w:color="CCCCCC"/>
            </w:tcBorders>
          </w:tcPr>
          <w:p>
            <w:r>
              <w:t>20</w:t>
            </w:r>
          </w:p>
        </w:tc>
      </w:tr>
      <w:tr>
        <w:tc>
          <w:tcPr>
            <w:tcW w:type="dxa" w:w="1560"/>
            <w:tcBorders>
              <w:top w:val="single" w:sz="1" w:space="0" w:color="CCCCCC"/>
              <w:left w:val="single" w:sz="1" w:space="0" w:color="CCCCCC"/>
              <w:bottom w:val="single" w:sz="1" w:space="0" w:color="CCCCCC"/>
              <w:right w:val="single" w:sz="1" w:space="0" w:color="CCCCCC"/>
            </w:tcBorders>
          </w:tcPr>
          <w:p>
            <w:r>
              <w:t>Kans 3</w:t>
            </w:r>
          </w:p>
        </w:tc>
        <w:tc>
          <w:tcPr>
            <w:tcW w:type="dxa" w:w="1560"/>
            <w:tcBorders>
              <w:top w:val="single" w:sz="1" w:space="0" w:color="CCCCCC"/>
              <w:left w:val="single" w:sz="1" w:space="0" w:color="CCCCCC"/>
              <w:bottom w:val="single" w:sz="1" w:space="0" w:color="CCCCCC"/>
              <w:right w:val="single" w:sz="1" w:space="0" w:color="CCCCCC"/>
            </w:tcBorders>
          </w:tcPr>
          <w:p>
            <w:r>
              <w:t>3</w:t>
            </w:r>
          </w:p>
        </w:tc>
        <w:tc>
          <w:tcPr>
            <w:tcW w:type="dxa" w:w="1560"/>
            <w:tcBorders>
              <w:top w:val="single" w:sz="1" w:space="0" w:color="CCCCCC"/>
              <w:left w:val="single" w:sz="1" w:space="0" w:color="CCCCCC"/>
              <w:bottom w:val="single" w:sz="1" w:space="0" w:color="CCCCCC"/>
              <w:right w:val="single" w:sz="1" w:space="0" w:color="CCCCCC"/>
            </w:tcBorders>
          </w:tcPr>
          <w:p>
            <w:r>
              <w:t>6</w:t>
            </w:r>
          </w:p>
        </w:tc>
        <w:tc>
          <w:tcPr>
            <w:tcW w:type="dxa" w:w="1560"/>
            <w:tcBorders>
              <w:top w:val="single" w:sz="1" w:space="0" w:color="CCCCCC"/>
              <w:left w:val="single" w:sz="1" w:space="0" w:color="CCCCCC"/>
              <w:bottom w:val="single" w:sz="1" w:space="0" w:color="CCCCCC"/>
              <w:right w:val="single" w:sz="1" w:space="0" w:color="CCCCCC"/>
            </w:tcBorders>
          </w:tcPr>
          <w:p>
            <w:r>
              <w:t>9</w:t>
            </w:r>
          </w:p>
        </w:tc>
        <w:tc>
          <w:tcPr>
            <w:tcW w:type="dxa" w:w="1560"/>
            <w:tcBorders>
              <w:top w:val="single" w:sz="1" w:space="0" w:color="CCCCCC"/>
              <w:left w:val="single" w:sz="1" w:space="0" w:color="CCCCCC"/>
              <w:bottom w:val="single" w:sz="1" w:space="0" w:color="CCCCCC"/>
              <w:right w:val="single" w:sz="1" w:space="0" w:color="CCCCCC"/>
            </w:tcBorders>
          </w:tcPr>
          <w:p>
            <w:r>
              <w:t>12</w:t>
            </w:r>
          </w:p>
        </w:tc>
        <w:tc>
          <w:tcPr>
            <w:tcW w:type="dxa" w:w="1560"/>
            <w:tcBorders>
              <w:top w:val="single" w:sz="1" w:space="0" w:color="CCCCCC"/>
              <w:left w:val="single" w:sz="1" w:space="0" w:color="CCCCCC"/>
              <w:bottom w:val="single" w:sz="1" w:space="0" w:color="CCCCCC"/>
              <w:right w:val="single" w:sz="1" w:space="0" w:color="CCCCCC"/>
            </w:tcBorders>
          </w:tcPr>
          <w:p>
            <w:r>
              <w:t>15</w:t>
            </w:r>
          </w:p>
        </w:tc>
      </w:tr>
      <w:tr>
        <w:tc>
          <w:tcPr>
            <w:tcW w:type="dxa" w:w="1560"/>
            <w:tcBorders>
              <w:top w:val="single" w:sz="1" w:space="0" w:color="CCCCCC"/>
              <w:left w:val="single" w:sz="1" w:space="0" w:color="CCCCCC"/>
              <w:bottom w:val="single" w:sz="1" w:space="0" w:color="CCCCCC"/>
              <w:right w:val="single" w:sz="1" w:space="0" w:color="CCCCCC"/>
            </w:tcBorders>
          </w:tcPr>
          <w:p>
            <w:r>
              <w:t>Kans 2</w:t>
            </w:r>
          </w:p>
        </w:tc>
        <w:tc>
          <w:tcPr>
            <w:tcW w:type="dxa" w:w="1560"/>
            <w:tcBorders>
              <w:top w:val="single" w:sz="1" w:space="0" w:color="CCCCCC"/>
              <w:left w:val="single" w:sz="1" w:space="0" w:color="CCCCCC"/>
              <w:bottom w:val="single" w:sz="1" w:space="0" w:color="CCCCCC"/>
              <w:right w:val="single" w:sz="1" w:space="0" w:color="CCCCCC"/>
            </w:tcBorders>
          </w:tcPr>
          <w:p>
            <w:r>
              <w:t>2</w:t>
            </w:r>
          </w:p>
        </w:tc>
        <w:tc>
          <w:tcPr>
            <w:tcW w:type="dxa" w:w="1560"/>
            <w:tcBorders>
              <w:top w:val="single" w:sz="1" w:space="0" w:color="CCCCCC"/>
              <w:left w:val="single" w:sz="1" w:space="0" w:color="CCCCCC"/>
              <w:bottom w:val="single" w:sz="1" w:space="0" w:color="CCCCCC"/>
              <w:right w:val="single" w:sz="1" w:space="0" w:color="CCCCCC"/>
            </w:tcBorders>
          </w:tcPr>
          <w:p>
            <w:r>
              <w:t>4</w:t>
            </w:r>
          </w:p>
        </w:tc>
        <w:tc>
          <w:tcPr>
            <w:tcW w:type="dxa" w:w="1560"/>
            <w:tcBorders>
              <w:top w:val="single" w:sz="1" w:space="0" w:color="CCCCCC"/>
              <w:left w:val="single" w:sz="1" w:space="0" w:color="CCCCCC"/>
              <w:bottom w:val="single" w:sz="1" w:space="0" w:color="CCCCCC"/>
              <w:right w:val="single" w:sz="1" w:space="0" w:color="CCCCCC"/>
            </w:tcBorders>
          </w:tcPr>
          <w:p>
            <w:r>
              <w:t>6</w:t>
            </w:r>
          </w:p>
        </w:tc>
        <w:tc>
          <w:tcPr>
            <w:tcW w:type="dxa" w:w="1560"/>
            <w:tcBorders>
              <w:top w:val="single" w:sz="1" w:space="0" w:color="CCCCCC"/>
              <w:left w:val="single" w:sz="1" w:space="0" w:color="CCCCCC"/>
              <w:bottom w:val="single" w:sz="1" w:space="0" w:color="CCCCCC"/>
              <w:right w:val="single" w:sz="1" w:space="0" w:color="CCCCCC"/>
            </w:tcBorders>
          </w:tcPr>
          <w:p>
            <w:r>
              <w:t>8</w:t>
            </w:r>
          </w:p>
        </w:tc>
        <w:tc>
          <w:tcPr>
            <w:tcW w:type="dxa" w:w="1560"/>
            <w:tcBorders>
              <w:top w:val="single" w:sz="1" w:space="0" w:color="CCCCCC"/>
              <w:left w:val="single" w:sz="1" w:space="0" w:color="CCCCCC"/>
              <w:bottom w:val="single" w:sz="1" w:space="0" w:color="CCCCCC"/>
              <w:right w:val="single" w:sz="1" w:space="0" w:color="CCCCCC"/>
            </w:tcBorders>
          </w:tcPr>
          <w:p>
            <w:r>
              <w:t>10</w:t>
            </w:r>
          </w:p>
        </w:tc>
      </w:tr>
      <w:tr>
        <w:tc>
          <w:tcPr>
            <w:tcW w:type="dxa" w:w="1560"/>
            <w:tcBorders>
              <w:top w:val="single" w:sz="1" w:space="0" w:color="CCCCCC"/>
              <w:left w:val="single" w:sz="1" w:space="0" w:color="CCCCCC"/>
              <w:bottom w:val="single" w:sz="1" w:space="0" w:color="CCCCCC"/>
              <w:right w:val="single" w:sz="1" w:space="0" w:color="CCCCCC"/>
            </w:tcBorders>
          </w:tcPr>
          <w:p>
            <w:r>
              <w:t>Kans 1</w:t>
            </w:r>
          </w:p>
        </w:tc>
        <w:tc>
          <w:tcPr>
            <w:tcW w:type="dxa" w:w="1560"/>
            <w:tcBorders>
              <w:top w:val="single" w:sz="1" w:space="0" w:color="CCCCCC"/>
              <w:left w:val="single" w:sz="1" w:space="0" w:color="CCCCCC"/>
              <w:bottom w:val="single" w:sz="1" w:space="0" w:color="CCCCCC"/>
              <w:right w:val="single" w:sz="1" w:space="0" w:color="CCCCCC"/>
            </w:tcBorders>
          </w:tcPr>
          <w:p>
            <w:r>
              <w:t>1</w:t>
            </w:r>
          </w:p>
        </w:tc>
        <w:tc>
          <w:tcPr>
            <w:tcW w:type="dxa" w:w="1560"/>
            <w:tcBorders>
              <w:top w:val="single" w:sz="1" w:space="0" w:color="CCCCCC"/>
              <w:left w:val="single" w:sz="1" w:space="0" w:color="CCCCCC"/>
              <w:bottom w:val="single" w:sz="1" w:space="0" w:color="CCCCCC"/>
              <w:right w:val="single" w:sz="1" w:space="0" w:color="CCCCCC"/>
            </w:tcBorders>
          </w:tcPr>
          <w:p>
            <w:r>
              <w:t>2</w:t>
            </w:r>
          </w:p>
        </w:tc>
        <w:tc>
          <w:tcPr>
            <w:tcW w:type="dxa" w:w="1560"/>
            <w:tcBorders>
              <w:top w:val="single" w:sz="1" w:space="0" w:color="CCCCCC"/>
              <w:left w:val="single" w:sz="1" w:space="0" w:color="CCCCCC"/>
              <w:bottom w:val="single" w:sz="1" w:space="0" w:color="CCCCCC"/>
              <w:right w:val="single" w:sz="1" w:space="0" w:color="CCCCCC"/>
            </w:tcBorders>
          </w:tcPr>
          <w:p>
            <w:r>
              <w:t>3</w:t>
            </w:r>
          </w:p>
        </w:tc>
        <w:tc>
          <w:tcPr>
            <w:tcW w:type="dxa" w:w="1560"/>
            <w:tcBorders>
              <w:top w:val="single" w:sz="1" w:space="0" w:color="CCCCCC"/>
              <w:left w:val="single" w:sz="1" w:space="0" w:color="CCCCCC"/>
              <w:bottom w:val="single" w:sz="1" w:space="0" w:color="CCCCCC"/>
              <w:right w:val="single" w:sz="1" w:space="0" w:color="CCCCCC"/>
            </w:tcBorders>
          </w:tcPr>
          <w:p>
            <w:r>
              <w:t>4</w:t>
            </w:r>
          </w:p>
        </w:tc>
        <w:tc>
          <w:tcPr>
            <w:tcW w:type="dxa" w:w="1560"/>
            <w:tcBorders>
              <w:top w:val="single" w:sz="1" w:space="0" w:color="CCCCCC"/>
              <w:left w:val="single" w:sz="1" w:space="0" w:color="CCCCCC"/>
              <w:bottom w:val="single" w:sz="1" w:space="0" w:color="CCCCCC"/>
              <w:right w:val="single" w:sz="1" w:space="0" w:color="CCCCCC"/>
            </w:tcBorders>
          </w:tcPr>
          <w:p>
            <w:r>
              <w:t>5</w:t>
            </w:r>
          </w:p>
        </w:tc>
      </w:tr>
    </w:tbl>
    <w:p>
      <w:pPr/>
      <w:r>
        <w:t xml:space="preserve">Grenswaarden: Rood (≥15) onacceptabel, Oranje (8–14) verhoogd (mitigatieplan met deadline), Groen (≤7) acceptabel. </w:t>
      </w:r>
      <w:r>
        <w:rPr>
          <w:b/>
        </w:rPr>
        <w:t xml:space="preserve">Aangescherpte grens (variant B): </w:t>
      </w:r>
      <w:r>
        <w:t>voor schade aan personen/gezondheid of patiëntdata-vertrouwelijkheid geldt ≥10 al als onacceptabel (in plaats van 15); voor overige categorieën de generieke grens ≥15. De zwaarst geraakte categorie bepaalt welke grens geldt.</w:t>
      </w:r>
    </w:p>
    <w:p>
      <w:pPr>
        <w:jc w:val="center"/>
      </w:pPr>
      <w:r>
        <w:drawing>
          <wp:inline xmlns:a="http://schemas.openxmlformats.org/drawingml/2006/main" xmlns:pic="http://schemas.openxmlformats.org/drawingml/2006/picture">
            <wp:extent cx="5486400" cy="3879652"/>
            <wp:docPr id="1" name="Picture 1"/>
            <wp:cNvGraphicFramePr>
              <a:graphicFrameLocks noChangeAspect="1"/>
            </wp:cNvGraphicFramePr>
            <a:graphic>
              <a:graphicData uri="http://schemas.openxmlformats.org/drawingml/2006/picture">
                <pic:pic>
                  <pic:nvPicPr>
                    <pic:cNvPr id="0" name="rm_render_embed.png"/>
                    <pic:cNvPicPr/>
                  </pic:nvPicPr>
                  <pic:blipFill>
                    <a:blip r:embed="rId14"/>
                    <a:stretch>
                      <a:fillRect/>
                    </a:stretch>
                  </pic:blipFill>
                  <pic:spPr>
                    <a:xfrm>
                      <a:off x="0" y="0"/>
                      <a:ext cx="5486400" cy="3879652"/>
                    </a:xfrm>
                    <a:prstGeom prst="rect"/>
                  </pic:spPr>
                </pic:pic>
              </a:graphicData>
            </a:graphic>
          </wp:inline>
        </w:drawing>
      </w:r>
    </w:p>
    <w:p>
      <w:pPr>
        <w:jc w:val="center"/>
      </w:pPr>
      <w:r>
        <w:rPr>
          <w:i/>
          <w:sz w:val="18"/>
        </w:rPr>
        <w:t>Risicomatrix — OpenMRS LegacyUI Module (variant B). Bron: docs/pdf/risicomatrix.pdf.</w:t>
      </w:r>
    </w:p>
    <w:p>
      <w:pPr>
        <w:pStyle w:val="Kop3"/>
      </w:pPr>
      <w:r>
        <w:t>Risicoweging van de bevindingen</w:t>
      </w:r>
    </w:p>
    <w:p>
      <w:pPr/>
      <w:r>
        <w:t>Per bevinding zijn twee instrumenten gebruikt met een verschillende rol: CVSS v3.1 geeft de technische ernst los van context, terwijl het besluit (oplossen, accepteren of escaleren) de risicocriteria volgt. De besluiten zijn rechtstreeks tegen de grenswaarden genomen, niet via een afzonderlijke kans×impact-plot per bevinding. De risicomatrix uit het threat model dekt het risiconiveau op systeemniveau; de pentest-bevindingen zijn daarvan de concrete, geverifieerde instanties. Een aparte 5×5-score per finding zou een rekenstap suggereren die in de werkelijke besluitvorming niet is gezet en is daarom bewust achterwege gelaten.</w:t>
      </w:r>
    </w:p>
    <w:p>
      <w:pPr/>
      <w:r>
        <w:t>De per-bevinding risico-onderbouwing (CVSS, grenswaarde-toets en accepteer-/herstelbesluit) staat in bijlage B (risico-bevindingen.md); de bewijsketen per bevinding in bijlage A (traceability-matrix.md). De geverifieerde pentest-instanties en hun besluiten zijn samengevat in hoofdstuk 9.</w:t>
      </w:r>
    </w:p>
    <w:p w14:paraId="1E928A82" w14:textId="77777777" w:rsidR="00DA1303" w:rsidRPr="00E2191E" w:rsidRDefault="001E7F7C">
      <w:pPr>
        <w:pStyle w:val="Kop1"/>
        <w:rPr>
          <w:lang w:val="nl-NL"/>
        </w:rPr>
      </w:pPr>
      <w:bookmarkStart w:id="10" w:name="_Toc231398333"/>
      <w:r w:rsidRPr="00E2191E">
        <w:rPr>
          <w:lang w:val="nl-NL"/>
        </w:rPr>
        <w:t>6. Bow-tie analyse</w:t>
      </w:r>
      <w:bookmarkEnd w:id="10"/>
    </w:p>
    <w:p w14:paraId="637D3C7C" w14:textId="77777777" w:rsidR="00DA1303" w:rsidRPr="00E2191E" w:rsidRDefault="001E7F7C">
      <w:pPr>
        <w:spacing w:after="120"/>
        <w:rPr>
          <w:lang w:val="nl-NL"/>
        </w:rPr>
      </w:pPr>
      <w:r>
        <w:t>De bow-tie-analyse is toegepast op het kritiekste CI-CD-procesrisico R1 (score 16, rood) uit de risico-evaluatie van de pipeline (cicd-risico-evaluatie.md §3). Scope: de risico’s van de pipeline zelf, niet de applicatiecode.</w:t>
      </w:r>
    </w:p>
    <w:p>
      <w:pPr/>
      <w:r>
        <w:rPr>
          <w:b/>
        </w:rPr>
        <w:t xml:space="preserve">Centrale gebeurtenis (R1). </w:t>
      </w:r>
      <w:r>
        <w:t>Een vulnerability-scan loopt stuk of levert geen artefact, terwijl continue-on-error: true de run groen houdt. Gevolg: een high-severity CVE landt ongedetecteerd in een productie-artefact.</w:t>
      </w:r>
    </w:p>
    <w:p>
      <w:pPr>
        <w:jc w:val="center"/>
      </w:pPr>
      <w:r>
        <w:drawing>
          <wp:inline xmlns:a="http://schemas.openxmlformats.org/drawingml/2006/main" xmlns:pic="http://schemas.openxmlformats.org/drawingml/2006/picture">
            <wp:extent cx="5486400" cy="3711815"/>
            <wp:docPr id="2" name="Picture 2"/>
            <wp:cNvGraphicFramePr>
              <a:graphicFrameLocks noChangeAspect="1"/>
            </wp:cNvGraphicFramePr>
            <a:graphic>
              <a:graphicData uri="http://schemas.openxmlformats.org/drawingml/2006/picture">
                <pic:pic>
                  <pic:nvPicPr>
                    <pic:cNvPr id="0" name="bowtie.png"/>
                    <pic:cNvPicPr/>
                  </pic:nvPicPr>
                  <pic:blipFill>
                    <a:blip r:embed="rId15"/>
                    <a:stretch>
                      <a:fillRect/>
                    </a:stretch>
                  </pic:blipFill>
                  <pic:spPr>
                    <a:xfrm>
                      <a:off x="0" y="0"/>
                      <a:ext cx="5486400" cy="3711815"/>
                    </a:xfrm>
                    <a:prstGeom prst="rect"/>
                  </pic:spPr>
                </pic:pic>
              </a:graphicData>
            </a:graphic>
          </wp:inline>
        </w:drawing>
      </w:r>
    </w:p>
    <w:p>
      <w:pPr>
        <w:jc w:val="center"/>
      </w:pPr>
      <w:r>
        <w:rPr>
          <w:i/>
          <w:sz w:val="18"/>
        </w:rPr>
        <w:t>Bow-tie kritiekste CI-CD-risico R1. Bron: docs/img/bowtie.png (cicd-risico-evaluatie.md §3).</w:t>
      </w:r>
    </w:p>
    <w:p>
      <w:pPr/>
      <w:r>
        <w:rPr>
          <w:b/>
        </w:rPr>
        <w:t xml:space="preserve">Preventieve barrières. </w:t>
      </w:r>
      <w:r>
        <w:t>Een aparte gate-stap die faalt op een ontbrekend artefact (in plaats van if-no-files-found: warn), exit-code-diagnose ook in CodeQL, en snyk monitor voor een server-side snapshot.</w:t>
      </w:r>
    </w:p>
    <w:p>
      <w:pPr/>
      <w:r>
        <w:rPr>
          <w:b/>
        </w:rPr>
        <w:t xml:space="preserve">Correctieve barrières. </w:t>
      </w:r>
      <w:r>
        <w:t>De wekelijkse scheduled run, Dependabot security updates, en handmatige verificatie van het artefact in de gemergede run.</w:t>
      </w:r>
    </w:p>
    <w:p>
      <w:pPr/>
      <w:r>
        <w:t>R1 is direct in de pipeline-config te fixen en is samen met R2 doorgekoppeld naar de security backlog (hoofdstuk 7) met hoge prioriteit.</w:t>
      </w:r>
    </w:p>
    <w:p w14:paraId="778ADCC1" w14:textId="77777777" w:rsidR="00DA1303" w:rsidRPr="00E2191E" w:rsidRDefault="001E7F7C">
      <w:pPr>
        <w:pStyle w:val="Kop1"/>
        <w:rPr>
          <w:lang w:val="nl-NL"/>
        </w:rPr>
      </w:pPr>
      <w:bookmarkStart w:id="11" w:name="_Toc231398334"/>
      <w:r w:rsidRPr="00E2191E">
        <w:rPr>
          <w:lang w:val="nl-NL"/>
        </w:rPr>
        <w:t>7. Security backlog</w:t>
      </w:r>
      <w:bookmarkEnd w:id="11"/>
    </w:p>
    <w:p w14:paraId="34224BF4" w14:textId="77777777" w:rsidR="00DA1303" w:rsidRPr="00E2191E" w:rsidRDefault="001E7F7C">
      <w:pPr>
        <w:spacing w:after="120"/>
        <w:rPr>
          <w:lang w:val="nl-NL"/>
        </w:rPr>
      </w:pPr>
      <w:r w:rsidRPr="00E2191E">
        <w:rPr>
          <w:lang w:val="nl-NL"/>
        </w:rPr>
        <w:t>De security backlog bundelt de geprioriteerde verbeterpunten uit de gap-analyse en de geautomatiseerde scans. Onderstaande prioriteiten komen uit de gap-analyse v1.1; de SCA-resultaten (op basis van de SBOM) volgen in een latere sprint.</w:t>
      </w:r>
    </w:p>
    <w:p w14:paraId="22C89F5E" w14:textId="77777777" w:rsidR="00DA1303" w:rsidRPr="00E2191E" w:rsidRDefault="001E7F7C">
      <w:pPr>
        <w:pStyle w:val="Kop2"/>
        <w:rPr>
          <w:lang w:val="nl-NL"/>
        </w:rPr>
      </w:pPr>
      <w:bookmarkStart w:id="12" w:name="_Toc231398335"/>
      <w:r w:rsidRPr="00E2191E">
        <w:rPr>
          <w:lang w:val="nl-NL"/>
        </w:rPr>
        <w:t>7.1 Geprioriteerde punten uit de gap-analyse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DA1303" w:rsidRPr="00E2191E" w14:paraId="38659661"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9696D1" w14:textId="77777777" w:rsidR="00DA1303" w:rsidRPr="00E2191E" w:rsidRDefault="001E7F7C">
            <w:pPr>
              <w:rPr>
                <w:lang w:val="nl-NL"/>
              </w:rPr>
            </w:pPr>
            <w:r w:rsidRPr="00E2191E">
              <w:rPr>
                <w:b/>
                <w:bCs/>
                <w:lang w:val="nl-NL"/>
              </w:rPr>
              <w:t>Prio</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249635" w14:textId="77777777" w:rsidR="00DA1303" w:rsidRPr="00E2191E" w:rsidRDefault="001E7F7C">
            <w:pPr>
              <w:rPr>
                <w:lang w:val="nl-NL"/>
              </w:rPr>
            </w:pPr>
            <w:r w:rsidRPr="00E2191E">
              <w:rPr>
                <w:b/>
                <w:bCs/>
                <w:lang w:val="nl-NL"/>
              </w:rPr>
              <w:t>Actie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A357A0" w14:textId="77777777" w:rsidR="00DA1303" w:rsidRPr="00E2191E" w:rsidRDefault="001E7F7C">
            <w:pPr>
              <w:rPr>
                <w:lang w:val="nl-NL"/>
              </w:rPr>
            </w:pPr>
            <w:r w:rsidRPr="00E2191E">
              <w:rPr>
                <w:b/>
                <w:bCs/>
                <w:lang w:val="nl-NL"/>
              </w:rPr>
              <w:t>Control</w:t>
            </w:r>
          </w:p>
        </w:tc>
      </w:tr>
      <w:tr w:rsidR="00DA1303" w:rsidRPr="00E2191E" w14:paraId="1EF01BA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6C774" w14:textId="77777777" w:rsidR="00DA1303" w:rsidRPr="00E2191E" w:rsidRDefault="001E7F7C">
            <w:pPr>
              <w:rPr>
                <w:lang w:val="nl-NL"/>
              </w:rPr>
            </w:pPr>
            <w:r w:rsidRPr="00E2191E">
              <w:rPr>
                <w:lang w:val="nl-NL"/>
              </w:rPr>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E7A2B" w14:textId="77777777" w:rsidR="00DA1303" w:rsidRPr="00E2191E" w:rsidRDefault="001E7F7C">
            <w:pPr>
              <w:rPr>
                <w:lang w:val="nl-NL"/>
              </w:rPr>
            </w:pPr>
            <w:r w:rsidRPr="00E2191E">
              <w:rPr>
                <w:lang w:val="nl-NL"/>
              </w:rPr>
              <w:t>Logging mislukte inlogpogingen (gebruikersnaam + IP + timestamp)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92F8" w14:textId="77777777" w:rsidR="00DA1303" w:rsidRPr="00E2191E" w:rsidRDefault="001E7F7C">
            <w:pPr>
              <w:rPr>
                <w:lang w:val="nl-NL"/>
              </w:rPr>
            </w:pPr>
            <w:r w:rsidRPr="00E2191E">
              <w:rPr>
                <w:lang w:val="nl-NL"/>
              </w:rPr>
              <w:t>A.8.15</w:t>
            </w:r>
          </w:p>
        </w:tc>
      </w:tr>
      <w:tr w:rsidR="00DA1303" w:rsidRPr="00E2191E" w14:paraId="58E32C7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163FA" w14:textId="77777777" w:rsidR="00DA1303" w:rsidRPr="00E2191E" w:rsidRDefault="001E7F7C">
            <w:pPr>
              <w:rPr>
                <w:lang w:val="nl-NL"/>
              </w:rPr>
            </w:pPr>
            <w:r w:rsidRPr="00E2191E">
              <w:rPr>
                <w:lang w:val="nl-NL"/>
              </w:rPr>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56242" w14:textId="77777777" w:rsidR="00DA1303" w:rsidRPr="00E2191E" w:rsidRDefault="001E7F7C">
            <w:pPr>
              <w:rPr>
                <w:lang w:val="nl-NL"/>
              </w:rPr>
            </w:pPr>
            <w:r w:rsidRPr="00E2191E">
              <w:rPr>
                <w:lang w:val="nl-NL"/>
              </w:rPr>
              <w:t>Logging wachtwoordwijziging en -herstel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7624E" w14:textId="77777777" w:rsidR="00DA1303" w:rsidRPr="00E2191E" w:rsidRDefault="001E7F7C">
            <w:pPr>
              <w:rPr>
                <w:lang w:val="nl-NL"/>
              </w:rPr>
            </w:pPr>
            <w:r w:rsidRPr="00E2191E">
              <w:rPr>
                <w:lang w:val="nl-NL"/>
              </w:rPr>
              <w:t>A.8.15</w:t>
            </w:r>
          </w:p>
        </w:tc>
      </w:tr>
      <w:tr w:rsidR="00DA1303" w:rsidRPr="00E2191E" w14:paraId="4930546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EB5AB" w14:textId="77777777" w:rsidR="00DA1303" w:rsidRPr="00E2191E" w:rsidRDefault="001E7F7C">
            <w:pPr>
              <w:rPr>
                <w:lang w:val="nl-NL"/>
              </w:rPr>
            </w:pPr>
            <w:r w:rsidRPr="00E2191E">
              <w:rPr>
                <w:lang w:val="nl-NL"/>
              </w:rPr>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C1713" w14:textId="77777777" w:rsidR="00DA1303" w:rsidRPr="00E2191E" w:rsidRDefault="001E7F7C">
            <w:pPr>
              <w:rPr>
                <w:lang w:val="nl-NL"/>
              </w:rPr>
            </w:pPr>
            <w:r w:rsidRPr="00E2191E">
              <w:rPr>
                <w:lang w:val="nl-NL"/>
              </w:rPr>
              <w:t>Logging administratieve gebruikersacties (create/purge/retire)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DDEFC" w14:textId="77777777" w:rsidR="00DA1303" w:rsidRPr="00E2191E" w:rsidRDefault="001E7F7C">
            <w:pPr>
              <w:rPr>
                <w:lang w:val="nl-NL"/>
              </w:rPr>
            </w:pPr>
            <w:r w:rsidRPr="00E2191E">
              <w:rPr>
                <w:lang w:val="nl-NL"/>
              </w:rPr>
              <w:t>A.8.15</w:t>
            </w:r>
          </w:p>
        </w:tc>
      </w:tr>
      <w:tr w:rsidR="00DA1303" w:rsidRPr="00E2191E" w14:paraId="0AF30F5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28CBE" w14:textId="77777777" w:rsidR="00DA1303" w:rsidRPr="00E2191E" w:rsidRDefault="001E7F7C">
            <w:pPr>
              <w:rPr>
                <w:lang w:val="nl-NL"/>
              </w:rPr>
            </w:pPr>
            <w:r w:rsidRPr="00E2191E">
              <w:rPr>
                <w:lang w:val="nl-NL"/>
              </w:rPr>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E3DFF" w14:textId="77777777" w:rsidR="00DA1303" w:rsidRPr="00E2191E" w:rsidRDefault="001E7F7C">
            <w:pPr>
              <w:rPr>
                <w:lang w:val="nl-NL"/>
              </w:rPr>
            </w:pPr>
            <w:r w:rsidRPr="00E2191E">
              <w:rPr>
                <w:lang w:val="nl-NL"/>
              </w:rPr>
              <w:t>Logging impersonatie (becomeUser)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D4BD4" w14:textId="77777777" w:rsidR="00DA1303" w:rsidRPr="00E2191E" w:rsidRDefault="001E7F7C">
            <w:pPr>
              <w:rPr>
                <w:lang w:val="nl-NL"/>
              </w:rPr>
            </w:pPr>
            <w:r w:rsidRPr="00E2191E">
              <w:rPr>
                <w:lang w:val="nl-NL"/>
              </w:rPr>
              <w:t>A.8.15</w:t>
            </w:r>
          </w:p>
        </w:tc>
      </w:tr>
      <w:tr w:rsidR="00DA1303" w:rsidRPr="00E2191E" w14:paraId="12B61B3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F16F4" w14:textId="77777777" w:rsidR="00DA1303" w:rsidRPr="00E2191E" w:rsidRDefault="001E7F7C">
            <w:pPr>
              <w:rPr>
                <w:lang w:val="nl-NL"/>
              </w:rPr>
            </w:pPr>
            <w:r w:rsidRPr="00E2191E">
              <w:rPr>
                <w:lang w:val="nl-NL"/>
              </w:rPr>
              <w:lastRenderedPageBreak/>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04C88" w14:textId="77777777" w:rsidR="00DA1303" w:rsidRPr="00E2191E" w:rsidRDefault="001E7F7C">
            <w:pPr>
              <w:rPr>
                <w:lang w:val="nl-NL"/>
              </w:rPr>
            </w:pPr>
            <w:r w:rsidRPr="00E2191E">
              <w:rPr>
                <w:lang w:val="nl-NL"/>
              </w:rPr>
              <w:t>IP-binding repareren (getLocalAddr → getRemoteAddr)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4D898" w14:textId="77777777" w:rsidR="00DA1303" w:rsidRPr="00E2191E" w:rsidRDefault="001E7F7C">
            <w:pPr>
              <w:rPr>
                <w:lang w:val="nl-NL"/>
              </w:rPr>
            </w:pPr>
            <w:r w:rsidRPr="00E2191E">
              <w:rPr>
                <w:lang w:val="nl-NL"/>
              </w:rPr>
              <w:t>A.8.3</w:t>
            </w:r>
          </w:p>
        </w:tc>
      </w:tr>
      <w:tr w:rsidR="00DA1303" w:rsidRPr="00E2191E" w14:paraId="7CB1F275"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F825E" w14:textId="77777777" w:rsidR="00DA1303" w:rsidRPr="00E2191E" w:rsidRDefault="001E7F7C">
            <w:pPr>
              <w:rPr>
                <w:lang w:val="nl-NL"/>
              </w:rPr>
            </w:pPr>
            <w:r w:rsidRPr="00E2191E">
              <w:rPr>
                <w:lang w:val="nl-NL"/>
              </w:rPr>
              <w:t>Hoog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94B7A" w14:textId="77777777" w:rsidR="00DA1303" w:rsidRPr="00E2191E" w:rsidRDefault="001E7F7C">
            <w:pPr>
              <w:rPr>
                <w:lang w:val="nl-NL"/>
              </w:rPr>
            </w:pPr>
            <w:r w:rsidRPr="00E2191E">
              <w:rPr>
                <w:lang w:val="nl-NL"/>
              </w:rPr>
              <w:t>Brute-force default verlagen van 100 naar 5–10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186ED" w14:textId="77777777" w:rsidR="00DA1303" w:rsidRPr="00E2191E" w:rsidRDefault="001E7F7C">
            <w:pPr>
              <w:rPr>
                <w:lang w:val="nl-NL"/>
              </w:rPr>
            </w:pPr>
            <w:r w:rsidRPr="00E2191E">
              <w:rPr>
                <w:lang w:val="nl-NL"/>
              </w:rPr>
              <w:t>A.8.5</w:t>
            </w:r>
          </w:p>
        </w:tc>
      </w:tr>
      <w:tr w:rsidR="00DA1303" w:rsidRPr="00E2191E" w14:paraId="156C67F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F73D4" w14:textId="77777777" w:rsidR="00DA1303" w:rsidRPr="00E2191E" w:rsidRDefault="001E7F7C">
            <w:pPr>
              <w:rPr>
                <w:lang w:val="nl-NL"/>
              </w:rPr>
            </w:pPr>
            <w:r w:rsidRPr="00E2191E">
              <w:rPr>
                <w:lang w:val="nl-NL"/>
              </w:rPr>
              <w:t>Medium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B79A3" w14:textId="77777777" w:rsidR="00DA1303" w:rsidRPr="00E2191E" w:rsidRDefault="001E7F7C">
            <w:pPr>
              <w:rPr>
                <w:lang w:val="nl-NL"/>
              </w:rPr>
            </w:pPr>
            <w:r w:rsidRPr="00E2191E">
              <w:rPr>
                <w:lang w:val="nl-NL"/>
              </w:rPr>
              <w:t>Privilege-controle op controller-niveau (tweede verdedigingslinie)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63217" w14:textId="77777777" w:rsidR="00DA1303" w:rsidRPr="00E2191E" w:rsidRDefault="001E7F7C">
            <w:pPr>
              <w:rPr>
                <w:lang w:val="nl-NL"/>
              </w:rPr>
            </w:pPr>
            <w:r w:rsidRPr="00E2191E">
              <w:rPr>
                <w:lang w:val="nl-NL"/>
              </w:rPr>
              <w:t>A.8.3</w:t>
            </w:r>
          </w:p>
        </w:tc>
      </w:tr>
      <w:tr w:rsidR="00DA1303" w:rsidRPr="00E2191E" w14:paraId="6551F34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D0668" w14:textId="77777777" w:rsidR="00DA1303" w:rsidRPr="00E2191E" w:rsidRDefault="001E7F7C">
            <w:pPr>
              <w:rPr>
                <w:lang w:val="nl-NL"/>
              </w:rPr>
            </w:pPr>
            <w:r w:rsidRPr="00E2191E">
              <w:rPr>
                <w:lang w:val="nl-NL"/>
              </w:rPr>
              <w:t>Medium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BACE9" w14:textId="77777777" w:rsidR="00DA1303" w:rsidRPr="00E2191E" w:rsidRDefault="001E7F7C">
            <w:pPr>
              <w:rPr>
                <w:lang w:val="nl-NL"/>
              </w:rPr>
            </w:pPr>
            <w:r w:rsidRPr="00E2191E">
              <w:rPr>
                <w:lang w:val="nl-NL"/>
              </w:rPr>
              <w:t>Vervaldatum tijdelijk wachtwoord + enumeratie dichten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51420" w14:textId="77777777" w:rsidR="00DA1303" w:rsidRPr="00E2191E" w:rsidRDefault="001E7F7C">
            <w:pPr>
              <w:rPr>
                <w:lang w:val="nl-NL"/>
              </w:rPr>
            </w:pPr>
            <w:r w:rsidRPr="00E2191E">
              <w:rPr>
                <w:lang w:val="nl-NL"/>
              </w:rPr>
              <w:t>A.8.5</w:t>
            </w:r>
          </w:p>
        </w:tc>
      </w:tr>
      <w:tr w:rsidR="00DA1303" w:rsidRPr="00E2191E" w14:paraId="43D0FF3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EDAF7" w14:textId="77777777" w:rsidR="00DA1303" w:rsidRPr="00E2191E" w:rsidRDefault="001E7F7C">
            <w:pPr>
              <w:rPr>
                <w:lang w:val="nl-NL"/>
              </w:rPr>
            </w:pPr>
            <w:r w:rsidRPr="00E2191E">
              <w:rPr>
                <w:lang w:val="nl-NL"/>
              </w:rPr>
              <w:t>Medium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2E5FC" w14:textId="77777777" w:rsidR="00DA1303" w:rsidRPr="00E2191E" w:rsidRDefault="001E7F7C">
            <w:pPr>
              <w:rPr>
                <w:lang w:val="nl-NL"/>
              </w:rPr>
            </w:pPr>
            <w:r w:rsidRPr="00E2191E">
              <w:rPr>
                <w:lang w:val="nl-NL"/>
              </w:rPr>
              <w:t>Logout-events loggen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DCD7E" w14:textId="77777777" w:rsidR="00DA1303" w:rsidRPr="00E2191E" w:rsidRDefault="001E7F7C">
            <w:pPr>
              <w:rPr>
                <w:lang w:val="nl-NL"/>
              </w:rPr>
            </w:pPr>
            <w:r w:rsidRPr="00E2191E">
              <w:rPr>
                <w:lang w:val="nl-NL"/>
              </w:rPr>
              <w:t>A.8.15</w:t>
            </w:r>
          </w:p>
        </w:tc>
      </w:tr>
      <w:tr w:rsidR="00DA1303" w:rsidRPr="00E2191E" w14:paraId="034302C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AB8EB" w14:textId="77777777" w:rsidR="00DA1303" w:rsidRPr="00E2191E" w:rsidRDefault="001E7F7C">
            <w:pPr>
              <w:rPr>
                <w:lang w:val="nl-NL"/>
              </w:rPr>
            </w:pPr>
            <w:r w:rsidRPr="00E2191E">
              <w:rPr>
                <w:lang w:val="nl-NL"/>
              </w:rPr>
              <w:t>Laag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4E77D" w14:textId="77777777" w:rsidR="00DA1303" w:rsidRPr="00E2191E" w:rsidRDefault="001E7F7C">
            <w:pPr>
              <w:rPr>
                <w:lang w:val="nl-NL"/>
              </w:rPr>
            </w:pPr>
            <w:r w:rsidRPr="00E2191E">
              <w:rPr>
                <w:lang w:val="nl-NL"/>
              </w:rPr>
              <w:t>Logging-frameworks consolideren naar één (SLF4J)</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17144" w14:textId="77777777" w:rsidR="00DA1303" w:rsidRPr="00E2191E" w:rsidRDefault="001E7F7C">
            <w:pPr>
              <w:rPr>
                <w:lang w:val="nl-NL"/>
              </w:rPr>
            </w:pPr>
            <w:r w:rsidRPr="00E2191E">
              <w:rPr>
                <w:lang w:val="nl-NL"/>
              </w:rPr>
              <w:t>A.8.15</w:t>
            </w:r>
          </w:p>
        </w:tc>
      </w:tr>
    </w:tbl>
    <w:p w14:paraId="3CCEC4FE" w14:textId="77777777" w:rsidR="00DA1303" w:rsidRPr="00E2191E" w:rsidRDefault="001E7F7C">
      <w:pPr>
        <w:pStyle w:val="Kop2"/>
        <w:rPr>
          <w:lang w:val="nl-NL"/>
        </w:rPr>
      </w:pPr>
      <w:bookmarkStart w:id="13" w:name="_Toc231398336"/>
      <w:r w:rsidRPr="00E2191E">
        <w:rPr>
          <w:lang w:val="nl-NL"/>
        </w:rPr>
        <w:t>7.2 SAST-resultaten (CodeQL)</w:t>
      </w:r>
      <w:bookmarkEnd w:id="13"/>
    </w:p>
    <w:p w14:paraId="6368144C" w14:textId="77777777" w:rsidR="00DA1303" w:rsidRPr="00E2191E" w:rsidRDefault="001E7F7C">
      <w:pPr>
        <w:spacing w:after="120"/>
        <w:rPr>
          <w:lang w:val="nl-NL"/>
        </w:rPr>
      </w:pPr>
      <w:r w:rsidRPr="00E2191E">
        <w:rPr>
          <w:lang w:val="nl-NL"/>
        </w:rPr>
        <w:t>CodeQL-analyse draait in de CI-pipeline op de volledige module (592 bestanden, 76 security-queries, default-suite), 0 findings. Resultaten vastgelegd als CI-artifact codeql-sarif. NB: 0 findings betekent niet 'veilig' — de handmatige gap-analyse vond wél tekortkomingen die de default-suite niet markeert; SAST en handmatige analyse zijn complementair.</w:t>
      </w:r>
    </w:p>
    <w:p w14:paraId="2ADF9827" w14:textId="77777777" w:rsidR="00DA1303" w:rsidRPr="00E2191E" w:rsidRDefault="001E7F7C">
      <w:pPr>
        <w:spacing w:after="120"/>
        <w:rPr>
          <w:lang w:val="nl-NL"/>
        </w:rPr>
      </w:pPr>
      <w:r>
        <w:t>Snyk SCA identificeert 128 unieke kwetsbaarheden in de afhankelijkheden, verdeeld over 6 critical, 60 high, 51 medium en 11 low. Deze 128 unieke kwetsbaarheden komen via 304 kwetsbare paden voor (dezelfde kwetsbaarheid via meerdere dependency-paden), gemeten over 3 gescande projecten (root/api/omod). Bron: Snyk SCA-run #121 op main (commit c8d5a5b), artefact snyk-sca-report. Per losse CVE is dat aantal niet werkbaar; de bevindingen zijn daarom per pakket geclusterd. Veel kwetsbaarheden zitten transitief via openmrs-api in de provided-scope, waardoor de feitelijke exploiteerbaarheid binnen deze module per cluster geverifieerd moet worden vóór patchen (risk-assessment-report.md §3b).</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Pakket</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Vulns</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Hoogste</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Upgrade?</w:t>
            </w:r>
          </w:p>
        </w:tc>
        <w:tc>
          <w:tcPr>
            <w:tcW w:type="dxa" w:w="1872"/>
            <w:tcBorders>
              <w:top w:val="single" w:sz="1" w:space="0" w:color="CCCCCC"/>
              <w:left w:val="single" w:sz="1" w:space="0" w:color="CCCCCC"/>
              <w:bottom w:val="single" w:sz="1" w:space="0" w:color="CCCCCC"/>
              <w:right w:val="single" w:sz="1" w:space="0" w:color="CCCCCC"/>
            </w:tcBorders>
            <w:shd w:val="clear" w:color="auto" w:fill="D5E8F0"/>
          </w:tcPr>
          <w:p>
            <w:r>
              <w:rPr>
                <w:b/>
              </w:rPr>
              <w:t>Advies</w:t>
            </w:r>
          </w:p>
        </w:tc>
      </w:tr>
      <w:tr>
        <w:tc>
          <w:tcPr>
            <w:tcW w:type="dxa" w:w="1872"/>
            <w:tcBorders>
              <w:top w:val="single" w:sz="1" w:space="0" w:color="CCCCCC"/>
              <w:left w:val="single" w:sz="1" w:space="0" w:color="CCCCCC"/>
              <w:bottom w:val="single" w:sz="1" w:space="0" w:color="CCCCCC"/>
              <w:right w:val="single" w:sz="1" w:space="0" w:color="CCCCCC"/>
            </w:tcBorders>
          </w:tcPr>
          <w:p>
            <w:r>
              <w:t>xstream</w:t>
            </w:r>
          </w:p>
        </w:tc>
        <w:tc>
          <w:tcPr>
            <w:tcW w:type="dxa" w:w="1872"/>
            <w:tcBorders>
              <w:top w:val="single" w:sz="1" w:space="0" w:color="CCCCCC"/>
              <w:left w:val="single" w:sz="1" w:space="0" w:color="CCCCCC"/>
              <w:bottom w:val="single" w:sz="1" w:space="0" w:color="CCCCCC"/>
              <w:right w:val="single" w:sz="1" w:space="0" w:color="CCCCCC"/>
            </w:tcBorders>
          </w:tcPr>
          <w:p>
            <w:r>
              <w:t>36</w:t>
            </w:r>
          </w:p>
        </w:tc>
        <w:tc>
          <w:tcPr>
            <w:tcW w:type="dxa" w:w="1872"/>
            <w:tcBorders>
              <w:top w:val="single" w:sz="1" w:space="0" w:color="CCCCCC"/>
              <w:left w:val="single" w:sz="1" w:space="0" w:color="CCCCCC"/>
              <w:bottom w:val="single" w:sz="1" w:space="0" w:color="CCCCCC"/>
              <w:right w:val="single" w:sz="1" w:space="0" w:color="CCCCCC"/>
            </w:tcBorders>
          </w:tcPr>
          <w:p>
            <w:r>
              <w:t>high (RCE)</w:t>
            </w:r>
          </w:p>
        </w:tc>
        <w:tc>
          <w:tcPr>
            <w:tcW w:type="dxa" w:w="1872"/>
            <w:tcBorders>
              <w:top w:val="single" w:sz="1" w:space="0" w:color="CCCCCC"/>
              <w:left w:val="single" w:sz="1" w:space="0" w:color="CCCCCC"/>
              <w:bottom w:val="single" w:sz="1" w:space="0" w:color="CCCCCC"/>
              <w:right w:val="single" w:sz="1" w:space="0" w:color="CCCCCC"/>
            </w:tcBorders>
          </w:tcPr>
          <w:p>
            <w:r>
              <w:t>Ja</w:t>
            </w:r>
          </w:p>
        </w:tc>
        <w:tc>
          <w:tcPr>
            <w:tcW w:type="dxa" w:w="1872"/>
            <w:tcBorders>
              <w:top w:val="single" w:sz="1" w:space="0" w:color="CCCCCC"/>
              <w:left w:val="single" w:sz="1" w:space="0" w:color="CCCCCC"/>
              <w:bottom w:val="single" w:sz="1" w:space="0" w:color="CCCCCC"/>
              <w:right w:val="single" w:sz="1" w:space="0" w:color="CCCCCC"/>
            </w:tcBorders>
          </w:tcPr>
          <w:p>
            <w:r>
              <w:t>Upgraden; deserialisatie-RCE reëel exploiteerbaar</w:t>
            </w:r>
          </w:p>
        </w:tc>
      </w:tr>
      <w:tr>
        <w:tc>
          <w:tcPr>
            <w:tcW w:type="dxa" w:w="1872"/>
            <w:tcBorders>
              <w:top w:val="single" w:sz="1" w:space="0" w:color="CCCCCC"/>
              <w:left w:val="single" w:sz="1" w:space="0" w:color="CCCCCC"/>
              <w:bottom w:val="single" w:sz="1" w:space="0" w:color="CCCCCC"/>
              <w:right w:val="single" w:sz="1" w:space="0" w:color="CCCCCC"/>
            </w:tcBorders>
          </w:tcPr>
          <w:p>
            <w:r>
              <w:t>commons-fileupload</w:t>
            </w:r>
          </w:p>
        </w:tc>
        <w:tc>
          <w:tcPr>
            <w:tcW w:type="dxa" w:w="1872"/>
            <w:tcBorders>
              <w:top w:val="single" w:sz="1" w:space="0" w:color="CCCCCC"/>
              <w:left w:val="single" w:sz="1" w:space="0" w:color="CCCCCC"/>
              <w:bottom w:val="single" w:sz="1" w:space="0" w:color="CCCCCC"/>
              <w:right w:val="single" w:sz="1" w:space="0" w:color="CCCCCC"/>
            </w:tcBorders>
          </w:tcPr>
          <w:p>
            <w:r>
              <w:t>7</w:t>
            </w:r>
          </w:p>
        </w:tc>
        <w:tc>
          <w:tcPr>
            <w:tcW w:type="dxa" w:w="1872"/>
            <w:tcBorders>
              <w:top w:val="single" w:sz="1" w:space="0" w:color="CCCCCC"/>
              <w:left w:val="single" w:sz="1" w:space="0" w:color="CCCCCC"/>
              <w:bottom w:val="single" w:sz="1" w:space="0" w:color="CCCCCC"/>
              <w:right w:val="single" w:sz="1" w:space="0" w:color="CCCCCC"/>
            </w:tcBorders>
          </w:tcPr>
          <w:p>
            <w:r>
              <w:t>critical</w:t>
            </w:r>
          </w:p>
        </w:tc>
        <w:tc>
          <w:tcPr>
            <w:tcW w:type="dxa" w:w="1872"/>
            <w:tcBorders>
              <w:top w:val="single" w:sz="1" w:space="0" w:color="CCCCCC"/>
              <w:left w:val="single" w:sz="1" w:space="0" w:color="CCCCCC"/>
              <w:bottom w:val="single" w:sz="1" w:space="0" w:color="CCCCCC"/>
              <w:right w:val="single" w:sz="1" w:space="0" w:color="CCCCCC"/>
            </w:tcBorders>
          </w:tcPr>
          <w:p>
            <w:r>
              <w:t>Ja</w:t>
            </w:r>
          </w:p>
        </w:tc>
        <w:tc>
          <w:tcPr>
            <w:tcW w:type="dxa" w:w="1872"/>
            <w:tcBorders>
              <w:top w:val="single" w:sz="1" w:space="0" w:color="CCCCCC"/>
              <w:left w:val="single" w:sz="1" w:space="0" w:color="CCCCCC"/>
              <w:bottom w:val="single" w:sz="1" w:space="0" w:color="CCCCCC"/>
              <w:right w:val="single" w:sz="1" w:space="0" w:color="CCCCCC"/>
            </w:tcBorders>
          </w:tcPr>
          <w:p>
            <w:r>
              <w:t>Upgraden — prioriteit</w:t>
            </w:r>
          </w:p>
        </w:tc>
      </w:tr>
      <w:tr>
        <w:tc>
          <w:tcPr>
            <w:tcW w:type="dxa" w:w="1872"/>
            <w:tcBorders>
              <w:top w:val="single" w:sz="1" w:space="0" w:color="CCCCCC"/>
              <w:left w:val="single" w:sz="1" w:space="0" w:color="CCCCCC"/>
              <w:bottom w:val="single" w:sz="1" w:space="0" w:color="CCCCCC"/>
              <w:right w:val="single" w:sz="1" w:space="0" w:color="CCCCCC"/>
            </w:tcBorders>
          </w:tcPr>
          <w:p>
            <w:r>
              <w:t>log4j 1.x</w:t>
            </w:r>
          </w:p>
        </w:tc>
        <w:tc>
          <w:tcPr>
            <w:tcW w:type="dxa" w:w="1872"/>
            <w:tcBorders>
              <w:top w:val="single" w:sz="1" w:space="0" w:color="CCCCCC"/>
              <w:left w:val="single" w:sz="1" w:space="0" w:color="CCCCCC"/>
              <w:bottom w:val="single" w:sz="1" w:space="0" w:color="CCCCCC"/>
              <w:right w:val="single" w:sz="1" w:space="0" w:color="CCCCCC"/>
            </w:tcBorders>
          </w:tcPr>
          <w:p>
            <w:r>
              <w:t>7</w:t>
            </w:r>
          </w:p>
        </w:tc>
        <w:tc>
          <w:tcPr>
            <w:tcW w:type="dxa" w:w="1872"/>
            <w:tcBorders>
              <w:top w:val="single" w:sz="1" w:space="0" w:color="CCCCCC"/>
              <w:left w:val="single" w:sz="1" w:space="0" w:color="CCCCCC"/>
              <w:bottom w:val="single" w:sz="1" w:space="0" w:color="CCCCCC"/>
              <w:right w:val="single" w:sz="1" w:space="0" w:color="CCCCCC"/>
            </w:tcBorders>
          </w:tcPr>
          <w:p>
            <w:r>
              <w:t>critical</w:t>
            </w:r>
          </w:p>
        </w:tc>
        <w:tc>
          <w:tcPr>
            <w:tcW w:type="dxa" w:w="1872"/>
            <w:tcBorders>
              <w:top w:val="single" w:sz="1" w:space="0" w:color="CCCCCC"/>
              <w:left w:val="single" w:sz="1" w:space="0" w:color="CCCCCC"/>
              <w:bottom w:val="single" w:sz="1" w:space="0" w:color="CCCCCC"/>
              <w:right w:val="single" w:sz="1" w:space="0" w:color="CCCCCC"/>
            </w:tcBorders>
          </w:tcPr>
          <w:p>
            <w:r>
              <w:t>Nee (EOL)</w:t>
            </w:r>
          </w:p>
        </w:tc>
        <w:tc>
          <w:tcPr>
            <w:tcW w:type="dxa" w:w="1872"/>
            <w:tcBorders>
              <w:top w:val="single" w:sz="1" w:space="0" w:color="CCCCCC"/>
              <w:left w:val="single" w:sz="1" w:space="0" w:color="CCCCCC"/>
              <w:bottom w:val="single" w:sz="1" w:space="0" w:color="CCCCCC"/>
              <w:right w:val="single" w:sz="1" w:space="0" w:color="CCCCCC"/>
            </w:tcBorders>
          </w:tcPr>
          <w:p>
            <w:r>
              <w:t>Migreren naar log4j 2 / reload4j; geen in-place upgrade mogelijk</w:t>
            </w:r>
          </w:p>
        </w:tc>
      </w:tr>
      <w:tr>
        <w:tc>
          <w:tcPr>
            <w:tcW w:type="dxa" w:w="1872"/>
            <w:tcBorders>
              <w:top w:val="single" w:sz="1" w:space="0" w:color="CCCCCC"/>
              <w:left w:val="single" w:sz="1" w:space="0" w:color="CCCCCC"/>
              <w:bottom w:val="single" w:sz="1" w:space="0" w:color="CCCCCC"/>
              <w:right w:val="single" w:sz="1" w:space="0" w:color="CCCCCC"/>
            </w:tcBorders>
          </w:tcPr>
          <w:p>
            <w:r>
              <w:t>spring-web / -webmvc / -core</w:t>
            </w:r>
          </w:p>
        </w:tc>
        <w:tc>
          <w:tcPr>
            <w:tcW w:type="dxa" w:w="1872"/>
            <w:tcBorders>
              <w:top w:val="single" w:sz="1" w:space="0" w:color="CCCCCC"/>
              <w:left w:val="single" w:sz="1" w:space="0" w:color="CCCCCC"/>
              <w:bottom w:val="single" w:sz="1" w:space="0" w:color="CCCCCC"/>
              <w:right w:val="single" w:sz="1" w:space="0" w:color="CCCCCC"/>
            </w:tcBorders>
          </w:tcPr>
          <w:p>
            <w:r>
              <w:t>25</w:t>
            </w:r>
          </w:p>
        </w:tc>
        <w:tc>
          <w:tcPr>
            <w:tcW w:type="dxa" w:w="1872"/>
            <w:tcBorders>
              <w:top w:val="single" w:sz="1" w:space="0" w:color="CCCCCC"/>
              <w:left w:val="single" w:sz="1" w:space="0" w:color="CCCCCC"/>
              <w:bottom w:val="single" w:sz="1" w:space="0" w:color="CCCCCC"/>
              <w:right w:val="single" w:sz="1" w:space="0" w:color="CCCCCC"/>
            </w:tcBorders>
          </w:tcPr>
          <w:p>
            <w:r>
              <w:t>high (auth bypass, DoS)</w:t>
            </w:r>
          </w:p>
        </w:tc>
        <w:tc>
          <w:tcPr>
            <w:tcW w:type="dxa" w:w="1872"/>
            <w:tcBorders>
              <w:top w:val="single" w:sz="1" w:space="0" w:color="CCCCCC"/>
              <w:left w:val="single" w:sz="1" w:space="0" w:color="CCCCCC"/>
              <w:bottom w:val="single" w:sz="1" w:space="0" w:color="CCCCCC"/>
              <w:right w:val="single" w:sz="1" w:space="0" w:color="CCCCCC"/>
            </w:tcBorders>
          </w:tcPr>
          <w:p>
            <w:r>
              <w:t>Ja</w:t>
            </w:r>
          </w:p>
        </w:tc>
        <w:tc>
          <w:tcPr>
            <w:tcW w:type="dxa" w:w="1872"/>
            <w:tcBorders>
              <w:top w:val="single" w:sz="1" w:space="0" w:color="CCCCCC"/>
              <w:left w:val="single" w:sz="1" w:space="0" w:color="CCCCCC"/>
              <w:bottom w:val="single" w:sz="1" w:space="0" w:color="CCCCCC"/>
              <w:right w:val="single" w:sz="1" w:space="0" w:color="CCCCCC"/>
            </w:tcBorders>
          </w:tcPr>
          <w:p>
            <w:r>
              <w:t>Bumpen; build-impact testen (CI breekt op sommige bumps)</w:t>
            </w:r>
          </w:p>
        </w:tc>
      </w:tr>
    </w:tbl>
    <w:p>
      <w:pPr/>
      <w:r>
        <w:t>log4j 1.x en de Spring-upgrade zijn de grootste onzekerheden: log4j 1.x is end-of-life en vereist een migratie in plaats van een versie-bump, en sommige Spring-bumps breken de build. Beide zijn ingeschat in de security backlog, niet weggeschreven.</w:t>
      </w:r>
    </w:p>
    <w:p>
      <w:pPr/>
      <w:r>
        <w:t>Elke SCA-/SAST-finding krijgt een triagebesluit (Fix/Accept/False positive/Defer) met verplichte onderbouwing; onderdrukkingen worden handmatig herleidbaar vastgelegd met een reason per finding. Het formaliseren in een .snyk-policyfile in versiebeheer staat als gepland backlog-item B13 (false-positive-beleid.md). Code Scanning/Dependency Review vereisen GitHub Advanced Security (betaald voor private repos); de SCA draait daarom via Dependabot security updates plus het Snyk-scanrapport, met resultaten als CI-artifact — een bewuste, geverifieerde keuze (comply-or-explain, mini-complianceverslag.md M2).</w:t>
      </w:r>
    </w:p>
    <w:p w14:paraId="5EDCE343" w14:textId="77777777" w:rsidR="00DA1303" w:rsidRPr="00E2191E" w:rsidRDefault="001E7F7C">
      <w:pPr>
        <w:pStyle w:val="Kop1"/>
        <w:rPr>
          <w:lang w:val="nl-NL"/>
        </w:rPr>
      </w:pPr>
      <w:bookmarkStart w:id="14" w:name="_Toc231398337"/>
      <w:r w:rsidRPr="00E2191E">
        <w:rPr>
          <w:lang w:val="nl-NL"/>
        </w:rPr>
        <w:t>8. SBOM &amp; Patchadvies</w:t>
      </w:r>
      <w:bookmarkEnd w:id="14"/>
    </w:p>
    <w:p w14:paraId="46C88849" w14:textId="77777777" w:rsidR="00DA1303" w:rsidRPr="00E2191E" w:rsidRDefault="001E7F7C">
      <w:pPr>
        <w:pStyle w:val="Kop2"/>
        <w:rPr>
          <w:lang w:val="nl-NL"/>
        </w:rPr>
      </w:pPr>
      <w:bookmarkStart w:id="15" w:name="_Toc231398338"/>
      <w:r w:rsidRPr="00E2191E">
        <w:rPr>
          <w:lang w:val="nl-NL"/>
        </w:rPr>
        <w:t>8.1 SBOM</w:t>
      </w:r>
      <w:bookmarkEnd w:id="15"/>
    </w:p>
    <w:p w14:paraId="16212B65" w14:textId="77777777" w:rsidR="00DA1303" w:rsidRPr="00E2191E" w:rsidRDefault="001E7F7C">
      <w:pPr>
        <w:spacing w:after="120"/>
        <w:rPr>
          <w:lang w:val="nl-NL"/>
        </w:rPr>
      </w:pPr>
      <w:r w:rsidRPr="00E2191E">
        <w:rPr>
          <w:lang w:val="nl-NL"/>
        </w:rPr>
        <w:t>De CI-pipeline genereert bij elke build een Software Bill of Materials in CycloneDX-formaat (geverifieerd: CycloneDX 1.5, 100 componenten), bewaard als CI-artifact sbom-cyclonedx. De SBOM brengt alle third-party componenten met versie in kaart en vormt de basis voor het patchadvies.</w:t>
      </w:r>
    </w:p>
    <w:p w14:paraId="118A7120" w14:textId="77777777" w:rsidR="00DA1303" w:rsidRPr="00E2191E" w:rsidRDefault="001E7F7C">
      <w:pPr>
        <w:spacing w:after="120"/>
        <w:rPr>
          <w:lang w:val="nl-NL"/>
        </w:rPr>
      </w:pPr>
      <w:r w:rsidRPr="00E2191E">
        <w:rPr>
          <w:lang w:val="nl-NL"/>
        </w:rPr>
        <w:t>De SBOM toont diverse verouderde componenten (o.a. log4j 1.2.x en oudere Apache Commons- en Spring-versies) die kandidaat zijn voor het kwetsbaarheidsonderzoek.</w:t>
      </w:r>
    </w:p>
    <w:p w14:paraId="07228B48" w14:textId="77777777" w:rsidR="00DA1303" w:rsidRPr="00E2191E" w:rsidRDefault="001E7F7C">
      <w:pPr>
        <w:pStyle w:val="Kop2"/>
        <w:rPr>
          <w:lang w:val="nl-NL"/>
        </w:rPr>
      </w:pPr>
      <w:bookmarkStart w:id="16" w:name="_Toc231398339"/>
      <w:r w:rsidRPr="00E2191E">
        <w:rPr>
          <w:lang w:val="nl-NL"/>
        </w:rPr>
        <w:t>8.2 Patchadvies</w:t>
      </w:r>
      <w:bookmarkEnd w:id="16"/>
    </w:p>
    <w:p w14:paraId="5345F48A" w14:textId="77777777" w:rsidR="00DA1303" w:rsidRPr="00E2191E" w:rsidRDefault="001E7F7C">
      <w:pPr>
        <w:spacing w:after="120"/>
        <w:rPr>
          <w:lang w:val="nl-NL"/>
        </w:rPr>
      </w:pPr>
      <w:r>
        <w:t>Het updateadvies is per pakket onderbouwd op basis van de SCA-resultaten (§7.2), geprioriteerd op de hoogste severity en de feitelijke exploiteerbaarheid binnen deze module:</w:t>
      </w:r>
    </w:p>
    <w:p>
      <w:pPr>
        <w:pStyle w:val="Lijstalinea"/>
        <w:numPr>
          <w:ilvl w:val="0"/>
          <w:numId w:val="2"/>
        </w:numPr>
      </w:pPr>
      <w:r>
        <w:rPr>
          <w:b/>
        </w:rPr>
        <w:t xml:space="preserve">commons-fileupload (critical). </w:t>
      </w:r>
      <w:r>
        <w:t>Upgraden — prioriteit.</w:t>
      </w:r>
    </w:p>
    <w:p>
      <w:pPr>
        <w:pStyle w:val="Lijstalinea"/>
        <w:numPr>
          <w:ilvl w:val="0"/>
          <w:numId w:val="2"/>
        </w:numPr>
      </w:pPr>
      <w:r>
        <w:rPr>
          <w:b/>
        </w:rPr>
        <w:t xml:space="preserve">xstream (high, RCE). </w:t>
      </w:r>
      <w:r>
        <w:t>Upgraden; de deserialisatie-RCE is reëel exploiteerbaar.</w:t>
      </w:r>
    </w:p>
    <w:p>
      <w:pPr>
        <w:pStyle w:val="Lijstalinea"/>
        <w:numPr>
          <w:ilvl w:val="0"/>
          <w:numId w:val="2"/>
        </w:numPr>
      </w:pPr>
      <w:r>
        <w:rPr>
          <w:b/>
        </w:rPr>
        <w:t xml:space="preserve">spring-web / -webmvc / -core (high, auth bypass/DoS). </w:t>
      </w:r>
      <w:r>
        <w:t>Bumpen, maar de build-impact testen — de CI breekt op sommige bumps.</w:t>
      </w:r>
    </w:p>
    <w:p>
      <w:pPr>
        <w:pStyle w:val="Lijstalinea"/>
        <w:numPr>
          <w:ilvl w:val="0"/>
          <w:numId w:val="2"/>
        </w:numPr>
      </w:pPr>
      <w:r>
        <w:rPr>
          <w:b/>
        </w:rPr>
        <w:t xml:space="preserve">log4j 1.x (critical, EOL). </w:t>
      </w:r>
      <w:r>
        <w:t>Geen in-place upgrade mogelijk; migreren naar log4j 2 of reload4j. Dit is een afzonderlijk migratietraject, geen versie-bump.</w:t>
      </w:r>
    </w:p>
    <w:p>
      <w:pPr/>
      <w:r>
        <w:t>log4j 1.x en de Spring-upgrade zijn de grootste onzekerheden en zijn in de security backlog ingeschat, niet weggeschreven.</w:t>
      </w:r>
    </w:p>
    <w:p>
      <w:pPr/>
      <w:r>
        <w:t>De kwetsbare baseline is bewust niet gepatcht: dat zou baseline-legacyui-1.20.0 wijzigen vóór de analyse en de herleidbaarheid breken. De openstaande Dependabot-PR’s (#10–14) staan daarom open als materiaal voor het patchadvies. De SBOM telt circa 100 componenten (CycloneDX 1.5; het exacte aantal is te verifiëren in het gegenereerde SBOM-artefact).</w:t>
      </w:r>
    </w:p>
    <w:p>
      <w:pPr/>
      <w:r>
        <w:t>Het geïntegreerde patch- en risicoadvies met kostenraming (circa 9,5 dag voor de kern) staat in bijlage P (risk-assessment-report.md). De CRA (EU 2024/2847) stelt eisen aan kwetsbaarheidsbeheer en componenttransparantie gedurende de levenscyclus; de SBOM, de gestructureerde SCA-triage en dit patchadvies sluiten daarop aan (CRA-mapping: bijlage U, cra-mapping.md).</w:t>
      </w:r>
    </w:p>
    <w:p w14:paraId="3DC3327E" w14:textId="77777777" w:rsidR="00DA1303" w:rsidRPr="00E2191E" w:rsidRDefault="001E7F7C">
      <w:pPr>
        <w:pStyle w:val="Kop1"/>
        <w:rPr>
          <w:lang w:val="nl-NL"/>
        </w:rPr>
      </w:pPr>
      <w:bookmarkStart w:id="17" w:name="_Toc231398340"/>
      <w:r w:rsidRPr="00E2191E">
        <w:rPr>
          <w:lang w:val="nl-NL"/>
        </w:rPr>
        <w:t>9. PoC &amp; Pentestresultaten</w:t>
      </w:r>
      <w:bookmarkEnd w:id="17"/>
    </w:p>
    <w:p w14:paraId="113DE4DE" w14:textId="77777777" w:rsidR="00DA1303" w:rsidRPr="00E2191E" w:rsidRDefault="001E7F7C">
      <w:pPr>
        <w:spacing w:after="120"/>
        <w:rPr>
          <w:lang w:val="nl-NL"/>
        </w:rPr>
      </w:pPr>
      <w:r>
        <w:t>Methode: OWASP Testing Guide (WS04B). Scope: legacyui-endpoints op een lokale reference-distro (eigen 1.20.0-build, directe backend op poort 8080). Per geverifieerde bevinding zijn besluit en — waar van toepassing — hertest na fix vastgelegd; het ruwe bewijs (HTTP-dumps, logvensters, repro-scripts, hertest) staat per test in docs/pentest-bewijs/T1 t/m T6.</w:t>
      </w:r>
    </w:p>
    <w:p>
      <w:pPr>
        <w:pStyle w:val="Kop3"/>
      </w:pPr>
      <w:r>
        <w:t>Resultatenoverzicht</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Bevinding</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Ernst</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CVSS</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Besluit</w:t>
            </w:r>
          </w:p>
        </w:tc>
        <w:tc>
          <w:tcPr>
            <w:tcW w:type="dxa" w:w="1560"/>
            <w:tcBorders>
              <w:top w:val="single" w:sz="1" w:space="0" w:color="CCCCCC"/>
              <w:left w:val="single" w:sz="1" w:space="0" w:color="CCCCCC"/>
              <w:bottom w:val="single" w:sz="1" w:space="0" w:color="CCCCCC"/>
              <w:right w:val="single" w:sz="1" w:space="0" w:color="CCCCCC"/>
            </w:tcBorders>
            <w:shd w:val="clear" w:color="auto" w:fill="D5E8F0"/>
          </w:tcPr>
          <w:p>
            <w:r>
              <w:rPr>
                <w:b/>
              </w:rPr>
              <w:t>Hertest</w:t>
            </w:r>
          </w:p>
        </w:tc>
      </w:tr>
      <w:tr>
        <w:tc>
          <w:tcPr>
            <w:tcW w:type="dxa" w:w="1560"/>
            <w:tcBorders>
              <w:top w:val="single" w:sz="1" w:space="0" w:color="CCCCCC"/>
              <w:left w:val="single" w:sz="1" w:space="0" w:color="CCCCCC"/>
              <w:bottom w:val="single" w:sz="1" w:space="0" w:color="CCCCCC"/>
              <w:right w:val="single" w:sz="1" w:space="0" w:color="CCCCCC"/>
            </w:tcBorders>
          </w:tcPr>
          <w:p>
            <w:r>
              <w:t>1</w:t>
            </w:r>
          </w:p>
        </w:tc>
        <w:tc>
          <w:tcPr>
            <w:tcW w:type="dxa" w:w="1560"/>
            <w:tcBorders>
              <w:top w:val="single" w:sz="1" w:space="0" w:color="CCCCCC"/>
              <w:left w:val="single" w:sz="1" w:space="0" w:color="CCCCCC"/>
              <w:bottom w:val="single" w:sz="1" w:space="0" w:color="CCCCCC"/>
              <w:right w:val="single" w:sz="1" w:space="0" w:color="CCCCCC"/>
            </w:tcBorders>
          </w:tcPr>
          <w:p>
            <w:r>
              <w:t>Sessie-IP-binding dood codepad (RequireTag server-IP)</w:t>
            </w:r>
          </w:p>
        </w:tc>
        <w:tc>
          <w:tcPr>
            <w:tcW w:type="dxa" w:w="1560"/>
            <w:tcBorders>
              <w:top w:val="single" w:sz="1" w:space="0" w:color="CCCCCC"/>
              <w:left w:val="single" w:sz="1" w:space="0" w:color="CCCCCC"/>
              <w:bottom w:val="single" w:sz="1" w:space="0" w:color="CCCCCC"/>
              <w:right w:val="single" w:sz="1" w:space="0" w:color="CCCCCC"/>
            </w:tcBorders>
          </w:tcPr>
          <w:p>
            <w:r>
              <w:t>High</w:t>
            </w:r>
          </w:p>
        </w:tc>
        <w:tc>
          <w:tcPr>
            <w:tcW w:type="dxa" w:w="1560"/>
            <w:tcBorders>
              <w:top w:val="single" w:sz="1" w:space="0" w:color="CCCCCC"/>
              <w:left w:val="single" w:sz="1" w:space="0" w:color="CCCCCC"/>
              <w:bottom w:val="single" w:sz="1" w:space="0" w:color="CCCCCC"/>
              <w:right w:val="single" w:sz="1" w:space="0" w:color="CCCCCC"/>
            </w:tcBorders>
          </w:tcPr>
          <w:p>
            <w:r>
              <w:t>7.4</w:t>
            </w:r>
          </w:p>
        </w:tc>
        <w:tc>
          <w:tcPr>
            <w:tcW w:type="dxa" w:w="1560"/>
            <w:tcBorders>
              <w:top w:val="single" w:sz="1" w:space="0" w:color="CCCCCC"/>
              <w:left w:val="single" w:sz="1" w:space="0" w:color="CCCCCC"/>
              <w:bottom w:val="single" w:sz="1" w:space="0" w:color="CCCCCC"/>
              <w:right w:val="single" w:sz="1" w:space="0" w:color="CCCCCC"/>
            </w:tcBorders>
          </w:tcPr>
          <w:p>
            <w:r>
              <w:t>Opgelost</w:t>
            </w:r>
          </w:p>
        </w:tc>
        <w:tc>
          <w:tcPr>
            <w:tcW w:type="dxa" w:w="1560"/>
            <w:tcBorders>
              <w:top w:val="single" w:sz="1" w:space="0" w:color="CCCCCC"/>
              <w:left w:val="single" w:sz="1" w:space="0" w:color="CCCCCC"/>
              <w:bottom w:val="single" w:sz="1" w:space="0" w:color="CCCCCC"/>
              <w:right w:val="single" w:sz="1" w:space="0" w:color="CCCCCC"/>
            </w:tcBorders>
          </w:tcPr>
          <w:p>
            <w:r>
              <w:t>Geverifieerd opgelost (fix 7e1c705): zelfde JSESSIONID vanaf ander client-IP nu 302→login + WARN "Invalid ip addr". Bewijs T1/hertest/</w:t>
            </w:r>
          </w:p>
        </w:tc>
      </w:tr>
      <w:tr>
        <w:tc>
          <w:tcPr>
            <w:tcW w:type="dxa" w:w="1560"/>
            <w:tcBorders>
              <w:top w:val="single" w:sz="1" w:space="0" w:color="CCCCCC"/>
              <w:left w:val="single" w:sz="1" w:space="0" w:color="CCCCCC"/>
              <w:bottom w:val="single" w:sz="1" w:space="0" w:color="CCCCCC"/>
              <w:right w:val="single" w:sz="1" w:space="0" w:color="CCCCCC"/>
            </w:tcBorders>
          </w:tcPr>
          <w:p>
            <w:r>
              <w:t>2</w:t>
            </w:r>
          </w:p>
        </w:tc>
        <w:tc>
          <w:tcPr>
            <w:tcW w:type="dxa" w:w="1560"/>
            <w:tcBorders>
              <w:top w:val="single" w:sz="1" w:space="0" w:color="CCCCCC"/>
              <w:left w:val="single" w:sz="1" w:space="0" w:color="CCCCCC"/>
              <w:bottom w:val="single" w:sz="1" w:space="0" w:color="CCCCCC"/>
              <w:right w:val="single" w:sz="1" w:space="0" w:color="CCCCCC"/>
            </w:tcBorders>
          </w:tcPr>
          <w:p>
            <w:r>
              <w:t>Brute-force: drempel 100, in-memory, per-IP</w:t>
            </w:r>
          </w:p>
        </w:tc>
        <w:tc>
          <w:tcPr>
            <w:tcW w:type="dxa" w:w="1560"/>
            <w:tcBorders>
              <w:top w:val="single" w:sz="1" w:space="0" w:color="CCCCCC"/>
              <w:left w:val="single" w:sz="1" w:space="0" w:color="CCCCCC"/>
              <w:bottom w:val="single" w:sz="1" w:space="0" w:color="CCCCCC"/>
              <w:right w:val="single" w:sz="1" w:space="0" w:color="CCCCCC"/>
            </w:tcBorders>
          </w:tcPr>
          <w:p>
            <w:r>
              <w:t>Medium</w:t>
            </w:r>
          </w:p>
        </w:tc>
        <w:tc>
          <w:tcPr>
            <w:tcW w:type="dxa" w:w="1560"/>
            <w:tcBorders>
              <w:top w:val="single" w:sz="1" w:space="0" w:color="CCCCCC"/>
              <w:left w:val="single" w:sz="1" w:space="0" w:color="CCCCCC"/>
              <w:bottom w:val="single" w:sz="1" w:space="0" w:color="CCCCCC"/>
              <w:right w:val="single" w:sz="1" w:space="0" w:color="CCCCCC"/>
            </w:tcBorders>
          </w:tcPr>
          <w:p>
            <w:r>
              <w:t>6.5</w:t>
            </w:r>
          </w:p>
        </w:tc>
        <w:tc>
          <w:tcPr>
            <w:tcW w:type="dxa" w:w="1560"/>
            <w:tcBorders>
              <w:top w:val="single" w:sz="1" w:space="0" w:color="CCCCCC"/>
              <w:left w:val="single" w:sz="1" w:space="0" w:color="CCCCCC"/>
              <w:bottom w:val="single" w:sz="1" w:space="0" w:color="CCCCCC"/>
              <w:right w:val="single" w:sz="1" w:space="0" w:color="CCCCCC"/>
            </w:tcBorders>
          </w:tcPr>
          <w:p>
            <w:r>
              <w:t>Accepteren</w:t>
            </w:r>
          </w:p>
        </w:tc>
        <w:tc>
          <w:tcPr>
            <w:tcW w:type="dxa" w:w="1560"/>
            <w:tcBorders>
              <w:top w:val="single" w:sz="1" w:space="0" w:color="CCCCCC"/>
              <w:left w:val="single" w:sz="1" w:space="0" w:color="CCCCCC"/>
              <w:bottom w:val="single" w:sz="1" w:space="0" w:color="CCCCCC"/>
              <w:right w:val="single" w:sz="1" w:space="0" w:color="CCCCCC"/>
            </w:tcBorders>
          </w:tcPr>
          <w:p>
            <w:r>
              <w:t>N.v.t. — geaccepteerd onder grenswaarde; herbeoordelen bij volgende scan</w:t>
            </w:r>
          </w:p>
        </w:tc>
      </w:tr>
      <w:tr>
        <w:tc>
          <w:tcPr>
            <w:tcW w:type="dxa" w:w="1560"/>
            <w:tcBorders>
              <w:top w:val="single" w:sz="1" w:space="0" w:color="CCCCCC"/>
              <w:left w:val="single" w:sz="1" w:space="0" w:color="CCCCCC"/>
              <w:bottom w:val="single" w:sz="1" w:space="0" w:color="CCCCCC"/>
              <w:right w:val="single" w:sz="1" w:space="0" w:color="CCCCCC"/>
            </w:tcBorders>
          </w:tcPr>
          <w:p>
            <w:r>
              <w:t>3</w:t>
            </w:r>
          </w:p>
        </w:tc>
        <w:tc>
          <w:tcPr>
            <w:tcW w:type="dxa" w:w="1560"/>
            <w:tcBorders>
              <w:top w:val="single" w:sz="1" w:space="0" w:color="CCCCCC"/>
              <w:left w:val="single" w:sz="1" w:space="0" w:color="CCCCCC"/>
              <w:bottom w:val="single" w:sz="1" w:space="0" w:color="CCCCCC"/>
              <w:right w:val="single" w:sz="1" w:space="0" w:color="CCCCCC"/>
            </w:tcBorders>
          </w:tcPr>
          <w:p>
            <w:r>
              <w:t>Admin-acties niet ge-audit-logd (legacyui)</w:t>
            </w:r>
          </w:p>
        </w:tc>
        <w:tc>
          <w:tcPr>
            <w:tcW w:type="dxa" w:w="1560"/>
            <w:tcBorders>
              <w:top w:val="single" w:sz="1" w:space="0" w:color="CCCCCC"/>
              <w:left w:val="single" w:sz="1" w:space="0" w:color="CCCCCC"/>
              <w:bottom w:val="single" w:sz="1" w:space="0" w:color="CCCCCC"/>
              <w:right w:val="single" w:sz="1" w:space="0" w:color="CCCCCC"/>
            </w:tcBorders>
          </w:tcPr>
          <w:p>
            <w:r>
              <w:t>Medium</w:t>
            </w:r>
          </w:p>
        </w:tc>
        <w:tc>
          <w:tcPr>
            <w:tcW w:type="dxa" w:w="1560"/>
            <w:tcBorders>
              <w:top w:val="single" w:sz="1" w:space="0" w:color="CCCCCC"/>
              <w:left w:val="single" w:sz="1" w:space="0" w:color="CCCCCC"/>
              <w:bottom w:val="single" w:sz="1" w:space="0" w:color="CCCCCC"/>
              <w:right w:val="single" w:sz="1" w:space="0" w:color="CCCCCC"/>
            </w:tcBorders>
          </w:tcPr>
          <w:p>
            <w:r>
              <w:t>5.3</w:t>
            </w:r>
          </w:p>
        </w:tc>
        <w:tc>
          <w:tcPr>
            <w:tcW w:type="dxa" w:w="1560"/>
            <w:tcBorders>
              <w:top w:val="single" w:sz="1" w:space="0" w:color="CCCCCC"/>
              <w:left w:val="single" w:sz="1" w:space="0" w:color="CCCCCC"/>
              <w:bottom w:val="single" w:sz="1" w:space="0" w:color="CCCCCC"/>
              <w:right w:val="single" w:sz="1" w:space="0" w:color="CCCCCC"/>
            </w:tcBorders>
          </w:tcPr>
          <w:p>
            <w:r>
              <w:t>Opgelost</w:t>
            </w:r>
          </w:p>
        </w:tc>
        <w:tc>
          <w:tcPr>
            <w:tcW w:type="dxa" w:w="1560"/>
            <w:tcBorders>
              <w:top w:val="single" w:sz="1" w:space="0" w:color="CCCCCC"/>
              <w:left w:val="single" w:sz="1" w:space="0" w:color="CCCCCC"/>
              <w:bottom w:val="single" w:sz="1" w:space="0" w:color="CCCCCC"/>
              <w:right w:val="single" w:sz="1" w:space="0" w:color="CCCCCC"/>
            </w:tcBorders>
          </w:tcPr>
          <w:p>
            <w:r>
              <w:t>Geverifieerd opgelost (fix c693cb2): 10 events loggen een AUDIT-regel met de 5 W’s, geen wachtwoordwaarde. Doorontwikkeld in 0421a10 (WARN + regressietests). Bewijs T3/hertest/</w:t>
            </w:r>
          </w:p>
        </w:tc>
      </w:tr>
      <w:tr>
        <w:tc>
          <w:tcPr>
            <w:tcW w:type="dxa" w:w="1560"/>
            <w:tcBorders>
              <w:top w:val="single" w:sz="1" w:space="0" w:color="CCCCCC"/>
              <w:left w:val="single" w:sz="1" w:space="0" w:color="CCCCCC"/>
              <w:bottom w:val="single" w:sz="1" w:space="0" w:color="CCCCCC"/>
              <w:right w:val="single" w:sz="1" w:space="0" w:color="CCCCCC"/>
            </w:tcBorders>
          </w:tcPr>
          <w:p>
            <w:r>
              <w:t>4</w:t>
            </w:r>
          </w:p>
        </w:tc>
        <w:tc>
          <w:tcPr>
            <w:tcW w:type="dxa" w:w="1560"/>
            <w:tcBorders>
              <w:top w:val="single" w:sz="1" w:space="0" w:color="CCCCCC"/>
              <w:left w:val="single" w:sz="1" w:space="0" w:color="CCCCCC"/>
              <w:bottom w:val="single" w:sz="1" w:space="0" w:color="CCCCCC"/>
              <w:right w:val="single" w:sz="1" w:space="0" w:color="CCCCCC"/>
            </w:tcBorders>
          </w:tcPr>
          <w:p>
            <w:r>
              <w:t>Gebruikersenumeratie via forgot-password (deels)</w:t>
            </w:r>
          </w:p>
        </w:tc>
        <w:tc>
          <w:tcPr>
            <w:tcW w:type="dxa" w:w="1560"/>
            <w:tcBorders>
              <w:top w:val="single" w:sz="1" w:space="0" w:color="CCCCCC"/>
              <w:left w:val="single" w:sz="1" w:space="0" w:color="CCCCCC"/>
              <w:bottom w:val="single" w:sz="1" w:space="0" w:color="CCCCCC"/>
              <w:right w:val="single" w:sz="1" w:space="0" w:color="CCCCCC"/>
            </w:tcBorders>
          </w:tcPr>
          <w:p>
            <w:r>
              <w:t>Medium</w:t>
            </w:r>
          </w:p>
        </w:tc>
        <w:tc>
          <w:tcPr>
            <w:tcW w:type="dxa" w:w="1560"/>
            <w:tcBorders>
              <w:top w:val="single" w:sz="1" w:space="0" w:color="CCCCCC"/>
              <w:left w:val="single" w:sz="1" w:space="0" w:color="CCCCCC"/>
              <w:bottom w:val="single" w:sz="1" w:space="0" w:color="CCCCCC"/>
              <w:right w:val="single" w:sz="1" w:space="0" w:color="CCCCCC"/>
            </w:tcBorders>
          </w:tcPr>
          <w:p>
            <w:r>
              <w:t>5.3</w:t>
            </w:r>
          </w:p>
        </w:tc>
        <w:tc>
          <w:tcPr>
            <w:tcW w:type="dxa" w:w="1560"/>
            <w:tcBorders>
              <w:top w:val="single" w:sz="1" w:space="0" w:color="CCCCCC"/>
              <w:left w:val="single" w:sz="1" w:space="0" w:color="CCCCCC"/>
              <w:bottom w:val="single" w:sz="1" w:space="0" w:color="CCCCCC"/>
              <w:right w:val="single" w:sz="1" w:space="0" w:color="CCCCCC"/>
            </w:tcBorders>
          </w:tcPr>
          <w:p>
            <w:r>
              <w:t>Accepteren</w:t>
            </w:r>
          </w:p>
        </w:tc>
        <w:tc>
          <w:tcPr>
            <w:tcW w:type="dxa" w:w="1560"/>
            <w:tcBorders>
              <w:top w:val="single" w:sz="1" w:space="0" w:color="CCCCCC"/>
              <w:left w:val="single" w:sz="1" w:space="0" w:color="CCCCCC"/>
              <w:bottom w:val="single" w:sz="1" w:space="0" w:color="CCCCCC"/>
              <w:right w:val="single" w:sz="1" w:space="0" w:color="CCCCCC"/>
            </w:tcBorders>
          </w:tcPr>
          <w:p>
            <w:r>
              <w:t>N.v.t. — geaccepteerd onder grenswaarde; herbeoordelen bij volgende scan</w:t>
            </w:r>
          </w:p>
        </w:tc>
      </w:tr>
      <w:tr>
        <w:tc>
          <w:tcPr>
            <w:tcW w:type="dxa" w:w="1560"/>
            <w:tcBorders>
              <w:top w:val="single" w:sz="1" w:space="0" w:color="CCCCCC"/>
              <w:left w:val="single" w:sz="1" w:space="0" w:color="CCCCCC"/>
              <w:bottom w:val="single" w:sz="1" w:space="0" w:color="CCCCCC"/>
              <w:right w:val="single" w:sz="1" w:space="0" w:color="CCCCCC"/>
            </w:tcBorders>
          </w:tcPr>
          <w:p>
            <w:r>
              <w:t>5</w:t>
            </w:r>
          </w:p>
        </w:tc>
        <w:tc>
          <w:tcPr>
            <w:tcW w:type="dxa" w:w="1560"/>
            <w:tcBorders>
              <w:top w:val="single" w:sz="1" w:space="0" w:color="CCCCCC"/>
              <w:left w:val="single" w:sz="1" w:space="0" w:color="CCCCCC"/>
              <w:bottom w:val="single" w:sz="1" w:space="0" w:color="CCCCCC"/>
              <w:right w:val="single" w:sz="1" w:space="0" w:color="CCCCCC"/>
            </w:tcBorders>
          </w:tcPr>
          <w:p>
            <w:r>
              <w:t>Wachtwoordreset: geen vervaltermijn + flow niet voltooibaar</w:t>
            </w:r>
          </w:p>
        </w:tc>
        <w:tc>
          <w:tcPr>
            <w:tcW w:type="dxa" w:w="1560"/>
            <w:tcBorders>
              <w:top w:val="single" w:sz="1" w:space="0" w:color="CCCCCC"/>
              <w:left w:val="single" w:sz="1" w:space="0" w:color="CCCCCC"/>
              <w:bottom w:val="single" w:sz="1" w:space="0" w:color="CCCCCC"/>
              <w:right w:val="single" w:sz="1" w:space="0" w:color="CCCCCC"/>
            </w:tcBorders>
          </w:tcPr>
          <w:p>
            <w:r>
              <w:t>Medium</w:t>
            </w:r>
          </w:p>
        </w:tc>
        <w:tc>
          <w:tcPr>
            <w:tcW w:type="dxa" w:w="1560"/>
            <w:tcBorders>
              <w:top w:val="single" w:sz="1" w:space="0" w:color="CCCCCC"/>
              <w:left w:val="single" w:sz="1" w:space="0" w:color="CCCCCC"/>
              <w:bottom w:val="single" w:sz="1" w:space="0" w:color="CCCCCC"/>
              <w:right w:val="single" w:sz="1" w:space="0" w:color="CCCCCC"/>
            </w:tcBorders>
          </w:tcPr>
          <w:p>
            <w:r>
              <w:t>5.3 (b); risicocriteria leidend</w:t>
            </w:r>
          </w:p>
        </w:tc>
        <w:tc>
          <w:tcPr>
            <w:tcW w:type="dxa" w:w="1560"/>
            <w:tcBorders>
              <w:top w:val="single" w:sz="1" w:space="0" w:color="CCCCCC"/>
              <w:left w:val="single" w:sz="1" w:space="0" w:color="CCCCCC"/>
              <w:bottom w:val="single" w:sz="1" w:space="0" w:color="CCCCCC"/>
              <w:right w:val="single" w:sz="1" w:space="0" w:color="CCCCCC"/>
            </w:tcBorders>
          </w:tcPr>
          <w:p>
            <w:r>
              <w:t>Opgelost</w:t>
            </w:r>
          </w:p>
        </w:tc>
        <w:tc>
          <w:tcPr>
            <w:tcW w:type="dxa" w:w="1560"/>
            <w:tcBorders>
              <w:top w:val="single" w:sz="1" w:space="0" w:color="CCCCCC"/>
              <w:left w:val="single" w:sz="1" w:space="0" w:color="CCCCCC"/>
              <w:bottom w:val="single" w:sz="1" w:space="0" w:color="CCCCCC"/>
              <w:right w:val="single" w:sz="1" w:space="0" w:color="CCCCCC"/>
            </w:tcBorders>
          </w:tcPr>
          <w:p>
            <w:r>
              <w:t>Geverifieerd opgelost (fix 9ab74ee): flow voltooit, forced-change grijpt in; sluit tevens het open #3 forgot-password-auditevent. Bewijs T5/hertest/</w:t>
            </w:r>
          </w:p>
        </w:tc>
      </w:tr>
      <w:tr>
        <w:tc>
          <w:tcPr>
            <w:tcW w:type="dxa" w:w="1560"/>
            <w:tcBorders>
              <w:top w:val="single" w:sz="1" w:space="0" w:color="CCCCCC"/>
              <w:left w:val="single" w:sz="1" w:space="0" w:color="CCCCCC"/>
              <w:bottom w:val="single" w:sz="1" w:space="0" w:color="CCCCCC"/>
              <w:right w:val="single" w:sz="1" w:space="0" w:color="CCCCCC"/>
            </w:tcBorders>
          </w:tcPr>
          <w:p>
            <w:r>
              <w:t>6</w:t>
            </w:r>
          </w:p>
        </w:tc>
        <w:tc>
          <w:tcPr>
            <w:tcW w:type="dxa" w:w="1560"/>
            <w:tcBorders>
              <w:top w:val="single" w:sz="1" w:space="0" w:color="CCCCCC"/>
              <w:left w:val="single" w:sz="1" w:space="0" w:color="CCCCCC"/>
              <w:bottom w:val="single" w:sz="1" w:space="0" w:color="CCCCCC"/>
              <w:right w:val="single" w:sz="1" w:space="0" w:color="CCCCCC"/>
            </w:tcBorders>
          </w:tcPr>
          <w:p>
            <w:r>
              <w:t>Information disclosure: stacktrace + Tomcat-versiebanner</w:t>
            </w:r>
          </w:p>
        </w:tc>
        <w:tc>
          <w:tcPr>
            <w:tcW w:type="dxa" w:w="1560"/>
            <w:tcBorders>
              <w:top w:val="single" w:sz="1" w:space="0" w:color="CCCCCC"/>
              <w:left w:val="single" w:sz="1" w:space="0" w:color="CCCCCC"/>
              <w:bottom w:val="single" w:sz="1" w:space="0" w:color="CCCCCC"/>
              <w:right w:val="single" w:sz="1" w:space="0" w:color="CCCCCC"/>
            </w:tcBorders>
          </w:tcPr>
          <w:p>
            <w:r>
              <w:t>Medium</w:t>
            </w:r>
          </w:p>
        </w:tc>
        <w:tc>
          <w:tcPr>
            <w:tcW w:type="dxa" w:w="1560"/>
            <w:tcBorders>
              <w:top w:val="single" w:sz="1" w:space="0" w:color="CCCCCC"/>
              <w:left w:val="single" w:sz="1" w:space="0" w:color="CCCCCC"/>
              <w:bottom w:val="single" w:sz="1" w:space="0" w:color="CCCCCC"/>
              <w:right w:val="single" w:sz="1" w:space="0" w:color="CCCCCC"/>
            </w:tcBorders>
          </w:tcPr>
          <w:p>
            <w:r>
              <w:t>5.3</w:t>
            </w:r>
          </w:p>
        </w:tc>
        <w:tc>
          <w:tcPr>
            <w:tcW w:type="dxa" w:w="1560"/>
            <w:tcBorders>
              <w:top w:val="single" w:sz="1" w:space="0" w:color="CCCCCC"/>
              <w:left w:val="single" w:sz="1" w:space="0" w:color="CCCCCC"/>
              <w:bottom w:val="single" w:sz="1" w:space="0" w:color="CCCCCC"/>
              <w:right w:val="single" w:sz="1" w:space="0" w:color="CCCCCC"/>
            </w:tcBorders>
          </w:tcPr>
          <w:p>
            <w:r>
              <w:t>Opgelost (a); scope-grens (b)</w:t>
            </w:r>
          </w:p>
        </w:tc>
        <w:tc>
          <w:tcPr>
            <w:tcW w:type="dxa" w:w="1560"/>
            <w:tcBorders>
              <w:top w:val="single" w:sz="1" w:space="0" w:color="CCCCCC"/>
              <w:left w:val="single" w:sz="1" w:space="0" w:color="CCCCCC"/>
              <w:bottom w:val="single" w:sz="1" w:space="0" w:color="CCCCCC"/>
              <w:right w:val="single" w:sz="1" w:space="0" w:color="CCCCCC"/>
            </w:tcBorders>
          </w:tcPr>
          <w:p>
            <w:r>
              <w:t>Geverifieerd opgelost (fix 9c14af3): autorisatiefout nu generieke 403 zonder stacktrace/versie. Tomcat-banner (b) = container-config, buiten scope. Bewijs T6/hertest/</w:t>
            </w:r>
          </w:p>
        </w:tc>
      </w:tr>
    </w:tbl>
    <w:p>
      <w:pPr/>
      <w:r>
        <w:rPr>
          <w:b/>
        </w:rPr>
        <w:t xml:space="preserve">Niet-kwetsbaar resultaat (T4 — weerlegde hypothese). </w:t>
      </w:r>
      <w:r>
        <w:t>De aanname dat controllers alleen ingelogd-zijn controleren en niet het privilege bleek onjuist: ongeprivilegieerde toegang tot /admin/users/user.form wordt door de service-laag-AOP (AuthorizationAdvice: "Privileges required: Manage Roles") geweigerd vóór enige gevoelige verwerking. Geen privilege-escalation; toegangscontrole effectief. De verbose foutrespons hierbij is bevinding #6.</w:t>
      </w:r>
    </w:p>
    <w:p>
      <w:pPr>
        <w:pStyle w:val="Kop3"/>
      </w:pPr>
      <w:r>
        <w:t>Bevindingen in detail</w:t>
      </w:r>
    </w:p>
    <w:p>
      <w:pPr>
        <w:pStyle w:val="Kop4"/>
      </w:pPr>
      <w:r>
        <w:t>#1 — Sessie-IP-binding is een dood codepad (RequireTag gebruikt server-IP)</w:t>
      </w:r>
    </w:p>
    <w:p>
      <w:pPr/>
      <w:r>
        <w:t>High · CVSS 7.4 (AV:N/AC:H/PR:N/UI:N/S:U/C:H/I:H/A:N) · OWASP A01 · CWE-290 · NEN-7510 8.3 · backlog B3.</w:t>
      </w:r>
    </w:p>
    <w:p>
      <w:pPr/>
      <w:r>
        <w:t>De IP-bindingcheck in RequireTag vergelijkt bij elke beschermde pagina het client-IP met het bij inloggen opgeslagen IP, maar haalt op RequireTag.java:88 het IP op met getLocalAddr() (server-IP). De vergelijking triggert daardoor nooit op een echte client-IP-wissel: een sessiecookie blijft geldig vanaf elk client-IP. De maatregel is een compenserende tweede verdedigingslinie tegen sessiekaping en die werkt niet. (Dynamisch geverifieerd vanaf host, aparte container én X-Forwarded-For.)</w:t>
      </w:r>
    </w:p>
    <w:p>
      <w:pPr/>
      <w:r>
        <w:t>Status: Geverifieerd opgelost (fix 7e1c705, hertest T1/hertest/) — IP-mismatch blokkeert nu en de "Invalid ip addr"-WARN verschijnt; geen regressie voor legitiem gebruik.</w:t>
      </w:r>
    </w:p>
    <w:p>
      <w:pPr>
        <w:pStyle w:val="Kop4"/>
      </w:pPr>
      <w:r>
        <w:t>#2 — Brute-force-lockout: hoge drempel, in-memory, per-IP, niet duurzaam</w:t>
      </w:r>
    </w:p>
    <w:p>
      <w:pPr/>
      <w:r>
        <w:t>Medium · CVSS 6.5 · OWASP A07 · CWE-307 · NEN-7510 8.5 · backlog B4.</w:t>
      </w:r>
    </w:p>
    <w:p>
      <w:pPr/>
      <w:r>
        <w:t>De loginflow beperkt brute-force via een in-memory teller (loginAttemptsByIP, LoginServlet.java:58) per client-IP, met lockout pas bij de standaarddrempel van 100 mislukte pogingen. De teller is niet persistent (een herstart wist lockouts) en wordt per servlet-instance bijgehouden, dus niet gedeeld over meerdere servers. De controle bestaat, maar is zwak: de drempel is hoog en via IP-rotatie of een herstart te omzeilen.</w:t>
      </w:r>
    </w:p>
    <w:p>
      <w:pPr/>
      <w:r>
        <w:t>Besluit: Accepteren — rate-limiting is aanwezig en CVSS 6.5 ligt onder de patiëntdata-grenswaarde (variant B, ≥10); de resterende mitigatie (drempelverlaging) hangt af van wachtwoordbeleid buiten de module. Herbeoordelen bij de volgende scan; mitigatie blijft als B4 in de backlog.</w:t>
      </w:r>
    </w:p>
    <w:p>
      <w:pPr>
        <w:pStyle w:val="Kop4"/>
      </w:pPr>
      <w:r>
        <w:t>#3 — Security-relevante admin-acties worden niet ge-audit-logd (legacyui-laag)</w:t>
      </w:r>
    </w:p>
    <w:p>
      <w:pPr/>
      <w:r>
        <w:t>Medium · CVSS 5.3 · OWASP A09 · CWE-778 · NEN-7510 8.15 · backlog B1/B2.</w:t>
      </w:r>
    </w:p>
    <w:p>
      <w:pPr/>
      <w:r>
        <w:t>De legacyui-module registreert geen audit-logregel voor succesvolle, security-relevante admin-acties: gebruiker aanmaken, rol toekennen, wachtwoord wijzigen en succesvol verwijderen produceren elk 0 logregels. Het mechanisme bestaat wél — een mislukte delete logt 139 regels met stacktrace (UserFormController:181) — maar logt alleen technische excepties, niet de geslaagde business-events. CVSS v3.1 kent geen metriek voor verlies van auditability; de finding weegt primair via NEN 8.15 en de risicocriteria, niet via de score.</w:t>
      </w:r>
    </w:p>
    <w:p>
      <w:pPr/>
      <w:r>
        <w:t>Status: Geverifieerd opgelost (fix c693cb2, hertest T3/hertest/) — 10 security-events loggen een AUDIT-regel met de 5 W’s, zonder wachtwoordwaarde; sinds 0421a10 (PR #52) op WARN met SCREAMING_SNAKE_CASE-eventnamen, regressie geborgd via AuditLoggingTest/LogoutServletAuditTest.</w:t>
      </w:r>
    </w:p>
    <w:p>
      <w:pPr>
        <w:pStyle w:val="Kop4"/>
      </w:pPr>
      <w:r>
        <w:t>#4 — Gebruikersenumeratie via forgot-password-respons (deels)</w:t>
      </w:r>
    </w:p>
    <w:p>
      <w:pPr/>
      <w:r>
        <w:t>Medium · CVSS 5.3 · OWASP A07 · CWE-204 · NEN-7510 8.5 (gap 8.5-6) · backlog B8.</w:t>
      </w:r>
    </w:p>
    <w:p>
      <w:pPr/>
      <w:r>
        <w:t>De forgot-password-flow maskeert het bestaan van een account gedeeltelijk: voor een niet-bestaande gebruiker toont de flow een nep-secret-question uit een vaste lijst. Drie gevallen werden vergeleken (alle HTTP 200): (A) bestaat zonder secret question — zichtbaar afwijkende error; (B) bestaat niet — nep-vraag; (C) bestaat met secret question — echte vraag. B en C zijn vrijwel niet te onderscheiden; geval A wijkt wel af, zodat een aanvaller kan vaststellen dat een account bestaat maar geen secret question heeft. Enumeratie is dus gedeeltelijk mogelijk.</w:t>
      </w:r>
    </w:p>
    <w:p>
      <w:pPr/>
      <w:r>
        <w:t>Besluit: Accepteren — CVSS 5.3 onder de grenswaarde (variant B, ≥10); het enumeratie-signaal is smal (alleen geval A onderscheidbaar) en de uniforme-respons-mitigatie raakt mede core-gedrag (getRandomFakeSecretQuestion in openmrs-core). Blijft als B8 in de backlog.</w:t>
      </w:r>
    </w:p>
    <w:p>
      <w:pPr>
        <w:pStyle w:val="Kop4"/>
      </w:pPr>
      <w:r>
        <w:t>#5 — Wachtwoordreset zonder vervaltermijn + reset-flow niet voltooibaar</w:t>
      </w:r>
    </w:p>
    <w:p>
      <w:pPr/>
      <w:r>
        <w:t>Medium · CVSS 5.3 (geldt voor gebrek b); risicocriteria leidend · OWASP A07 · CWE-640/CWE-269 · NEN-7510 8.5 · backlog B8.</w:t>
      </w:r>
    </w:p>
    <w:p>
      <w:pPr/>
      <w:r>
        <w:t>De reset in ForgotPasswordFormController (1.20.0) bevat twee samenhangende, code-geverifieerde gebreken. (a) Geen vervaltermijn: het succes-pad zet het gegenereerde wachtwoord direct als permanent wachtwoord, zonder TTL of geforceerde-wijziging-vlag. (b) Flow niet voltooibaar: getRandomPassword() doet een getGlobalProperty-lookup buiten elk addProxyPrivilege-blok, waardoor voor de anonieme reset-gebruiker een APIAuthenticationException "Privileges required: Get Global Properties" optreedt vóór changePassword. Gebrek (a) zit in een codepad dat door (b) in deze configuratie niet wordt bereikt; (b) is tevens een beschikbaarheids-/correctheidsdefect (een legitieme gebruiker kan zijn wachtwoord niet resetten).</w:t>
      </w:r>
    </w:p>
    <w:p>
      <w:pPr/>
      <w:r>
        <w:t>Status: Geverifieerd opgelost (fix 9ab74ee, hertest T5/hertest/) — reset-flow voltooit en forced-change wordt afgedwongen; sluit tevens het open #3 forgot-password-auditevent. Deployment-voorwaarde: de ForcePasswordChangeFilter moet actief zijn.</w:t>
      </w:r>
    </w:p>
    <w:p>
      <w:pPr>
        <w:pStyle w:val="Kop4"/>
      </w:pPr>
      <w:r>
        <w:t>#6 — Information disclosure: verbose stacktrace + Tomcat-versiebanner</w:t>
      </w:r>
    </w:p>
    <w:p>
      <w:pPr/>
      <w:r>
        <w:t>Medium · CVSS 5.3 · OWASP A05 · CWE-209/CWE-200 · NEN-7510 8.9 (configuratiebeheer) · backlog B9.</w:t>
      </w:r>
    </w:p>
    <w:p>
      <w:pPr/>
      <w:r>
        <w:t>De instance lekt technische omgevingsinformatie. (a) Bij een autorisatiefout serialiseert een *.form-endpoint met Accept: */* een volledige Java-stacktrace als JSON (Tomcat-filterketen, interne OpenMRS/Spring-verwijzingen, Java-runtimeversie) — waargenomen bij T4 en T5. (b) De default Tomcat-foutpagina toont de container-versie (Apache Tomcat/9.0.109). Dit geeft een aanvaller reconnaissance-informatie voor gerichte exploitatie van bekende CVE’s. Deze finding kwam uit de pentest en is gekoppeld aan 8.9, zonder te claimen dat 8.9 systematisch is geanalyseerd.</w:t>
      </w:r>
    </w:p>
    <w:p>
      <w:pPr/>
      <w:r>
        <w:t>Status: Geverifieerd opgelost — deel (a) (fix 9c14af3, hertest T6/hertest/): autorisatiefout geeft nu een generieke 403 zonder stacktrace/versie, server-side logging intact. Deel (b) Tomcat-versiebanner: scope-grens, container-config buiten legacyui.</w:t>
      </w:r>
    </w:p>
    <w:p w14:paraId="0E81E11C" w14:textId="77777777" w:rsidR="00DA1303" w:rsidRPr="00E2191E" w:rsidRDefault="001E7F7C">
      <w:pPr>
        <w:pStyle w:val="Kop1"/>
        <w:rPr>
          <w:lang w:val="nl-NL"/>
        </w:rPr>
      </w:pPr>
      <w:bookmarkStart w:id="18" w:name="_Toc231398341"/>
      <w:r w:rsidRPr="00E2191E">
        <w:rPr>
          <w:lang w:val="nl-NL"/>
        </w:rPr>
        <w:t>10. DPIA-check</w:t>
      </w:r>
      <w:bookmarkEnd w:id="18"/>
    </w:p>
    <w:p w14:paraId="16554363" w14:textId="77777777" w:rsidR="00DA1303" w:rsidRPr="00E2191E" w:rsidRDefault="001E7F7C">
      <w:pPr>
        <w:spacing w:after="120"/>
        <w:rPr>
          <w:lang w:val="nl-NL"/>
        </w:rPr>
      </w:pPr>
      <w:r>
        <w:t>Een formele Data Protection Impact Assessment (DPIA) is binnen dit audittraject niet uitgevoerd; een volledige DPIA viel buiten de auditscope. De privacy-relevante risico’s zijn wel langs twee lijnen geadresseerd: (1) de CIA/BIV-analyse classificeert de verwerkte patiënt- en persoonsgegevens als kroonjuwelen van de hoogste gevoeligheidsklasse (cia-biv-analyse.md, AVG art. 9), en (2) de risicocriteria hanteren een aangescherpte grenswaarde (variant B) voor alles wat patiëntveiligheid of patiëntdata-vertrouwelijkheid raakt (risicocriteria.md).</w:t>
      </w:r>
    </w:p>
    <w:p>
      <w:pPr/>
      <w:r>
        <w:rPr>
          <w:b/>
        </w:rPr>
        <w:t xml:space="preserve">Te verifiëren door Serino: </w:t>
      </w:r>
      <w:r>
        <w:t>of een formele DPIA binnen de opdracht (WS05, 3.4) alsnog als afzonderlijk product vereist is. Dit moet vóór de definitieve versie tegen de opdrachtbeschrijving worden bevestigd. Dit hoofdstuk claimt nadrukkelijk geen uitgevoerde DPIA.</w:t>
      </w:r>
    </w:p>
    <w:p w14:paraId="6006F100" w14:textId="77777777" w:rsidR="00DA1303" w:rsidRPr="00E2191E" w:rsidRDefault="001E7F7C">
      <w:pPr>
        <w:pStyle w:val="Kop1"/>
        <w:rPr>
          <w:lang w:val="nl-NL"/>
        </w:rPr>
      </w:pPr>
      <w:bookmarkStart w:id="19" w:name="_Toc231398342"/>
      <w:r w:rsidRPr="00E2191E">
        <w:rPr>
          <w:lang w:val="nl-NL"/>
        </w:rPr>
        <w:t>11. Aanbevelingen</w:t>
      </w:r>
      <w:bookmarkEnd w:id="19"/>
    </w:p>
    <w:p w14:paraId="2B069C6F" w14:textId="77777777" w:rsidR="00DA1303" w:rsidRPr="00E2191E" w:rsidRDefault="001E7F7C">
      <w:pPr>
        <w:pStyle w:val="Kop3"/>
        <w:spacing w:after="120"/>
        <w:rPr>
          <w:lang w:val="nl-NL"/>
        </w:rPr>
      </w:pPr>
      <w:r>
        <w:t>Eindoordeel per beheersmaatregel</w:t>
      </w:r>
    </w:p>
    <w:p>
      <w:pPr/>
      <w:r>
        <w:t>De gap-analyse stelde de baseline vast; de pentest-remediatie heeft een deel daarvan opgelost. Het onderscheid tussen baseline en na-remediatie is het resultaat van de audit.</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Borders>
              <w:top w:val="single" w:sz="1" w:space="0" w:color="CCCCCC"/>
              <w:left w:val="single" w:sz="1" w:space="0" w:color="CCCCCC"/>
              <w:bottom w:val="single" w:sz="1" w:space="0" w:color="CCCCCC"/>
              <w:right w:val="single" w:sz="1" w:space="0" w:color="CCCCCC"/>
            </w:tcBorders>
            <w:shd w:val="clear" w:color="auto" w:fill="D5E8F0"/>
          </w:tcPr>
          <w:p>
            <w:r>
              <w:rPr>
                <w:b/>
              </w:rPr>
              <w:t>Control</w:t>
            </w:r>
          </w:p>
        </w:tc>
        <w:tc>
          <w:tcPr>
            <w:tcW w:type="dxa" w:w="2340"/>
            <w:tcBorders>
              <w:top w:val="single" w:sz="1" w:space="0" w:color="CCCCCC"/>
              <w:left w:val="single" w:sz="1" w:space="0" w:color="CCCCCC"/>
              <w:bottom w:val="single" w:sz="1" w:space="0" w:color="CCCCCC"/>
              <w:right w:val="single" w:sz="1" w:space="0" w:color="CCCCCC"/>
            </w:tcBorders>
            <w:shd w:val="clear" w:color="auto" w:fill="D5E8F0"/>
          </w:tcPr>
          <w:p>
            <w:r>
              <w:rPr>
                <w:b/>
              </w:rPr>
              <w:t>Baseline-oordeel</w:t>
            </w:r>
          </w:p>
        </w:tc>
        <w:tc>
          <w:tcPr>
            <w:tcW w:type="dxa" w:w="2340"/>
            <w:tcBorders>
              <w:top w:val="single" w:sz="1" w:space="0" w:color="CCCCCC"/>
              <w:left w:val="single" w:sz="1" w:space="0" w:color="CCCCCC"/>
              <w:bottom w:val="single" w:sz="1" w:space="0" w:color="CCCCCC"/>
              <w:right w:val="single" w:sz="1" w:space="0" w:color="CCCCCC"/>
            </w:tcBorders>
            <w:shd w:val="clear" w:color="auto" w:fill="D5E8F0"/>
          </w:tcPr>
          <w:p>
            <w:r>
              <w:rPr>
                <w:b/>
              </w:rPr>
              <w:t>Na remediatie</w:t>
            </w:r>
          </w:p>
        </w:tc>
        <w:tc>
          <w:tcPr>
            <w:tcW w:type="dxa" w:w="2340"/>
            <w:tcBorders>
              <w:top w:val="single" w:sz="1" w:space="0" w:color="CCCCCC"/>
              <w:left w:val="single" w:sz="1" w:space="0" w:color="CCCCCC"/>
              <w:bottom w:val="single" w:sz="1" w:space="0" w:color="CCCCCC"/>
              <w:right w:val="single" w:sz="1" w:space="0" w:color="CCCCCC"/>
            </w:tcBorders>
            <w:shd w:val="clear" w:color="auto" w:fill="D5E8F0"/>
          </w:tcPr>
          <w:p>
            <w:r>
              <w:rPr>
                <w:b/>
              </w:rPr>
              <w:t>Toelichting</w:t>
            </w:r>
          </w:p>
        </w:tc>
      </w:tr>
      <w:tr>
        <w:tc>
          <w:tcPr>
            <w:tcW w:type="dxa" w:w="2340"/>
            <w:tcBorders>
              <w:top w:val="single" w:sz="1" w:space="0" w:color="CCCCCC"/>
              <w:left w:val="single" w:sz="1" w:space="0" w:color="CCCCCC"/>
              <w:bottom w:val="single" w:sz="1" w:space="0" w:color="CCCCCC"/>
              <w:right w:val="single" w:sz="1" w:space="0" w:color="CCCCCC"/>
            </w:tcBorders>
          </w:tcPr>
          <w:p>
            <w:r>
              <w:t>8.3 Toegangsbeperking</w:t>
            </w:r>
          </w:p>
        </w:tc>
        <w:tc>
          <w:tcPr>
            <w:tcW w:type="dxa" w:w="2340"/>
            <w:tcBorders>
              <w:top w:val="single" w:sz="1" w:space="0" w:color="CCCCCC"/>
              <w:left w:val="single" w:sz="1" w:space="0" w:color="CCCCCC"/>
              <w:bottom w:val="single" w:sz="1" w:space="0" w:color="CCCCCC"/>
              <w:right w:val="single" w:sz="1" w:space="0" w:color="CCCCCC"/>
            </w:tcBorders>
          </w:tcPr>
          <w:p>
            <w:r>
              <w:t>Gedeeltelijk compliant</w:t>
            </w:r>
          </w:p>
        </w:tc>
        <w:tc>
          <w:tcPr>
            <w:tcW w:type="dxa" w:w="2340"/>
            <w:tcBorders>
              <w:top w:val="single" w:sz="1" w:space="0" w:color="CCCCCC"/>
              <w:left w:val="single" w:sz="1" w:space="0" w:color="CCCCCC"/>
              <w:bottom w:val="single" w:sz="1" w:space="0" w:color="CCCCCC"/>
              <w:right w:val="single" w:sz="1" w:space="0" w:color="CCCCCC"/>
            </w:tcBorders>
          </w:tcPr>
          <w:p>
            <w:r>
              <w:t>Gedeeltelijk compliant (verbeterd)</w:t>
            </w:r>
          </w:p>
        </w:tc>
        <w:tc>
          <w:tcPr>
            <w:tcW w:type="dxa" w:w="2340"/>
            <w:tcBorders>
              <w:top w:val="single" w:sz="1" w:space="0" w:color="CCCCCC"/>
              <w:left w:val="single" w:sz="1" w:space="0" w:color="CCCCCC"/>
              <w:bottom w:val="single" w:sz="1" w:space="0" w:color="CCCCCC"/>
              <w:right w:val="single" w:sz="1" w:space="0" w:color="CCCCCC"/>
            </w:tcBorders>
          </w:tcPr>
          <w:p>
            <w:r>
              <w:t>IP-binding hersteld (#1); controller-privilege-gaten 8.3-4/5 blijven open als vervolgwerk</w:t>
            </w:r>
          </w:p>
        </w:tc>
      </w:tr>
      <w:tr>
        <w:tc>
          <w:tcPr>
            <w:tcW w:type="dxa" w:w="2340"/>
            <w:tcBorders>
              <w:top w:val="single" w:sz="1" w:space="0" w:color="CCCCCC"/>
              <w:left w:val="single" w:sz="1" w:space="0" w:color="CCCCCC"/>
              <w:bottom w:val="single" w:sz="1" w:space="0" w:color="CCCCCC"/>
              <w:right w:val="single" w:sz="1" w:space="0" w:color="CCCCCC"/>
            </w:tcBorders>
          </w:tcPr>
          <w:p>
            <w:r>
              <w:t>8.5 Beveiligde authenticatie</w:t>
            </w:r>
          </w:p>
        </w:tc>
        <w:tc>
          <w:tcPr>
            <w:tcW w:type="dxa" w:w="2340"/>
            <w:tcBorders>
              <w:top w:val="single" w:sz="1" w:space="0" w:color="CCCCCC"/>
              <w:left w:val="single" w:sz="1" w:space="0" w:color="CCCCCC"/>
              <w:bottom w:val="single" w:sz="1" w:space="0" w:color="CCCCCC"/>
              <w:right w:val="single" w:sz="1" w:space="0" w:color="CCCCCC"/>
            </w:tcBorders>
          </w:tcPr>
          <w:p>
            <w:r>
              <w:t>Gedeeltelijk compliant</w:t>
            </w:r>
          </w:p>
        </w:tc>
        <w:tc>
          <w:tcPr>
            <w:tcW w:type="dxa" w:w="2340"/>
            <w:tcBorders>
              <w:top w:val="single" w:sz="1" w:space="0" w:color="CCCCCC"/>
              <w:left w:val="single" w:sz="1" w:space="0" w:color="CCCCCC"/>
              <w:bottom w:val="single" w:sz="1" w:space="0" w:color="CCCCCC"/>
              <w:right w:val="single" w:sz="1" w:space="0" w:color="CCCCCC"/>
            </w:tcBorders>
          </w:tcPr>
          <w:p>
            <w:r>
              <w:t>Gedeeltelijk compliant (verbeterd)</w:t>
            </w:r>
          </w:p>
        </w:tc>
        <w:tc>
          <w:tcPr>
            <w:tcW w:type="dxa" w:w="2340"/>
            <w:tcBorders>
              <w:top w:val="single" w:sz="1" w:space="0" w:color="CCCCCC"/>
              <w:left w:val="single" w:sz="1" w:space="0" w:color="CCCCCC"/>
              <w:bottom w:val="single" w:sz="1" w:space="0" w:color="CCCCCC"/>
              <w:right w:val="single" w:sz="1" w:space="0" w:color="CCCCCC"/>
            </w:tcBorders>
          </w:tcPr>
          <w:p>
            <w:r>
              <w:t>Reset-flow gehard (#5); brute-force (#2) en enumeratie (#4) bewust geaccepteerd onder de grenswaarde</w:t>
            </w:r>
          </w:p>
        </w:tc>
      </w:tr>
      <w:tr>
        <w:tc>
          <w:tcPr>
            <w:tcW w:type="dxa" w:w="2340"/>
            <w:tcBorders>
              <w:top w:val="single" w:sz="1" w:space="0" w:color="CCCCCC"/>
              <w:left w:val="single" w:sz="1" w:space="0" w:color="CCCCCC"/>
              <w:bottom w:val="single" w:sz="1" w:space="0" w:color="CCCCCC"/>
              <w:right w:val="single" w:sz="1" w:space="0" w:color="CCCCCC"/>
            </w:tcBorders>
          </w:tcPr>
          <w:p>
            <w:r>
              <w:t>8.15 Logging</w:t>
            </w:r>
          </w:p>
        </w:tc>
        <w:tc>
          <w:tcPr>
            <w:tcW w:type="dxa" w:w="2340"/>
            <w:tcBorders>
              <w:top w:val="single" w:sz="1" w:space="0" w:color="CCCCCC"/>
              <w:left w:val="single" w:sz="1" w:space="0" w:color="CCCCCC"/>
              <w:bottom w:val="single" w:sz="1" w:space="0" w:color="CCCCCC"/>
              <w:right w:val="single" w:sz="1" w:space="0" w:color="CCCCCC"/>
            </w:tcBorders>
          </w:tcPr>
          <w:p>
            <w:r>
              <w:t>Niet compliant</w:t>
            </w:r>
          </w:p>
        </w:tc>
        <w:tc>
          <w:tcPr>
            <w:tcW w:type="dxa" w:w="2340"/>
            <w:tcBorders>
              <w:top w:val="single" w:sz="1" w:space="0" w:color="CCCCCC"/>
              <w:left w:val="single" w:sz="1" w:space="0" w:color="CCCCCC"/>
              <w:bottom w:val="single" w:sz="1" w:space="0" w:color="CCCCCC"/>
              <w:right w:val="single" w:sz="1" w:space="0" w:color="CCCCCC"/>
            </w:tcBorders>
          </w:tcPr>
          <w:p>
            <w:r>
              <w:t>Grotendeels compliant</w:t>
            </w:r>
          </w:p>
        </w:tc>
        <w:tc>
          <w:tcPr>
            <w:tcW w:type="dxa" w:w="2340"/>
            <w:tcBorders>
              <w:top w:val="single" w:sz="1" w:space="0" w:color="CCCCCC"/>
              <w:left w:val="single" w:sz="1" w:space="0" w:color="CCCCCC"/>
              <w:bottom w:val="single" w:sz="1" w:space="0" w:color="CCCCCC"/>
              <w:right w:val="single" w:sz="1" w:space="0" w:color="CCCCCC"/>
            </w:tcBorders>
          </w:tcPr>
          <w:p>
            <w:r>
              <w:t>Tien security-event-categorieën nu ge-audit-logd (#3), met regressietests; grootste verbetering van de audit</w:t>
            </w:r>
          </w:p>
        </w:tc>
      </w:tr>
      <w:tr>
        <w:tc>
          <w:tcPr>
            <w:tcW w:type="dxa" w:w="2340"/>
            <w:tcBorders>
              <w:top w:val="single" w:sz="1" w:space="0" w:color="CCCCCC"/>
              <w:left w:val="single" w:sz="1" w:space="0" w:color="CCCCCC"/>
              <w:bottom w:val="single" w:sz="1" w:space="0" w:color="CCCCCC"/>
              <w:right w:val="single" w:sz="1" w:space="0" w:color="CCCCCC"/>
            </w:tcBorders>
          </w:tcPr>
          <w:p>
            <w:r>
              <w:t>8.9 Configuratiebeheer</w:t>
            </w:r>
          </w:p>
        </w:tc>
        <w:tc>
          <w:tcPr>
            <w:tcW w:type="dxa" w:w="2340"/>
            <w:tcBorders>
              <w:top w:val="single" w:sz="1" w:space="0" w:color="CCCCCC"/>
              <w:left w:val="single" w:sz="1" w:space="0" w:color="CCCCCC"/>
              <w:bottom w:val="single" w:sz="1" w:space="0" w:color="CCCCCC"/>
              <w:right w:val="single" w:sz="1" w:space="0" w:color="CCCCCC"/>
            </w:tcBorders>
          </w:tcPr>
          <w:p>
            <w:r>
              <w:t>Niet apart beoordeeld</w:t>
            </w:r>
          </w:p>
        </w:tc>
        <w:tc>
          <w:tcPr>
            <w:tcW w:type="dxa" w:w="2340"/>
            <w:tcBorders>
              <w:top w:val="single" w:sz="1" w:space="0" w:color="CCCCCC"/>
              <w:left w:val="single" w:sz="1" w:space="0" w:color="CCCCCC"/>
              <w:bottom w:val="single" w:sz="1" w:space="0" w:color="CCCCCC"/>
              <w:right w:val="single" w:sz="1" w:space="0" w:color="CCCCCC"/>
            </w:tcBorders>
          </w:tcPr>
          <w:p>
            <w:r>
              <w:t>Gedeeltelijk</w:t>
            </w:r>
          </w:p>
        </w:tc>
        <w:tc>
          <w:tcPr>
            <w:tcW w:type="dxa" w:w="2340"/>
            <w:tcBorders>
              <w:top w:val="single" w:sz="1" w:space="0" w:color="CCCCCC"/>
              <w:left w:val="single" w:sz="1" w:space="0" w:color="CCCCCC"/>
              <w:bottom w:val="single" w:sz="1" w:space="0" w:color="CCCCCC"/>
              <w:right w:val="single" w:sz="1" w:space="0" w:color="CCCCCC"/>
            </w:tcBorders>
          </w:tcPr>
          <w:p>
            <w:r>
              <w:t>Information disclosure gemitigeerd (#6a); versiebanner is containerconfig, scope-grens (#6b)</w:t>
            </w:r>
          </w:p>
        </w:tc>
      </w:tr>
    </w:tbl>
    <w:p>
      <w:pPr/>
      <w:r>
        <w:t>8.15 ging van niet-compliant naar grotendeels compliant en is daarmee de belangrijkste winst. 8.3 en 8.5 zijn verbeterd maar niet volledig dichtgezet — de resterende punten zijn bewuste keuzes (acceptaties onder de grenswaarde) of geïdentificeerd vervolgwerk (controller-privilege-checks), niet over het hoofd geziene gaten.</w:t>
      </w:r>
    </w:p>
    <w:p>
      <w:pPr>
        <w:pStyle w:val="Kop3"/>
      </w:pPr>
      <w:r>
        <w:t>Belangrijkste resterende risico’s</w:t>
      </w:r>
    </w:p>
    <w:p>
      <w:pPr>
        <w:pStyle w:val="Lijstalinea"/>
        <w:numPr>
          <w:ilvl w:val="0"/>
          <w:numId w:val="2"/>
        </w:numPr>
      </w:pPr>
      <w:r>
        <w:rPr>
          <w:b/>
        </w:rPr>
        <w:t xml:space="preserve">Afhankelijkheden. </w:t>
      </w:r>
      <w:r>
        <w:t>128 kwetsbaarheden waarvan 6 critical, met commons-fileupload en log4j 1.x als scherpste; log4j 1.x is end-of-life en vereist migratie, geen patch — in te plannen, niet uit te stellen.</w:t>
      </w:r>
    </w:p>
    <w:p>
      <w:pPr>
        <w:pStyle w:val="Lijstalinea"/>
        <w:numPr>
          <w:ilvl w:val="0"/>
          <w:numId w:val="2"/>
        </w:numPr>
      </w:pPr>
      <w:r>
        <w:rPr>
          <w:b/>
        </w:rPr>
        <w:t xml:space="preserve">Controller-privilege-gaten (8.3-4/5). </w:t>
      </w:r>
      <w:r>
        <w:t>De module leunt voor autorisatie op de JSP-laag, wat een directe-URL-aanroep kan omzeilen.</w:t>
      </w:r>
    </w:p>
    <w:p>
      <w:pPr>
        <w:pStyle w:val="Lijstalinea"/>
        <w:numPr>
          <w:ilvl w:val="0"/>
          <w:numId w:val="2"/>
        </w:numPr>
      </w:pPr>
      <w:r>
        <w:rPr>
          <w:b/>
        </w:rPr>
        <w:t xml:space="preserve">Breder aanvalsoppervlak. </w:t>
      </w:r>
      <w:r>
        <w:t>Met name de DWR-laag-autorisatie, die de mapping blootlegde maar die buiten de pentest-scope bleef en als bewust openstaand is gemarkeerd.</w:t>
      </w:r>
    </w:p>
    <w:p>
      <w:pPr>
        <w:pStyle w:val="Kop3"/>
      </w:pPr>
      <w:r>
        <w:t>Advies</w:t>
      </w:r>
    </w:p>
    <w:p>
      <w:pPr/>
      <w:r>
        <w:t>De module is met de uitgevoerde remediatie aantoonbaar veiliger, maar niet productierijp voor een zorgomgeving zonder de vervolgstappen. Het advies is gefaseerd, conform de geprioriteerde backlog: pak eerst de P1-items met patiëntdata-impact op (de critical dependencies en de controller-privilege-checks), plan de log4j-migratie als afzonderlijk traject, en breng vervolgens de DWR-laag binnen scope voor een gerichte autorisatie-analyse. Het volledige patchadvies met kostenraming (circa 9,5 dag) staat in het risk assessment report (bijlage P).</w:t>
      </w:r>
    </w:p>
    <w:p>
      <w:pPr/>
      <w:r>
        <w:t>Twee deployment-voorwaarden gelden voor de doorgevoerde fixes: de ForcePasswordChangeFilter moet actief zijn (#5). De eerdere logniveau-voorwaarde voor #3 is vervallen sinds de audit-events op WARN loggen en daarmee zichtbaar zijn onder het default distro-logbeleid.</w:t>
      </w:r>
    </w:p>
    <w:p>
      <w:pPr>
        <w:pStyle w:val="Kop3"/>
      </w:pPr>
      <w:r>
        <w:t>Slotsom</w:t>
      </w:r>
    </w:p>
    <w:p>
      <w:pPr/>
      <w:r>
        <w:t>De audit toont een legacy zorgcomponent met reële, onderbouwde tekortkomingen, waarvan de meest kritische logging-laag binnen het traject is hersteld. De waarde zit niet alleen in de fixes, maar in de herleidbaarheid: elke bevinding is van bron tot hertest te volgen, elk besluit is tegen vastgelegde criteria genomen, en wat bewust niet is gedaan is met reden vastgelegd. Dat maakt de resterende risico’s beheersbaar in plaats van onbekend.</w:t>
      </w:r>
    </w:p>
    <w:p w14:paraId="37AC229F" w14:textId="77777777" w:rsidR="00DA1303" w:rsidRPr="00E2191E" w:rsidRDefault="001E7F7C">
      <w:pPr>
        <w:pStyle w:val="Kop1"/>
        <w:rPr>
          <w:lang w:val="nl-NL"/>
        </w:rPr>
      </w:pPr>
      <w:bookmarkStart w:id="20" w:name="_Toc231398343"/>
      <w:r w:rsidRPr="00E2191E">
        <w:rPr>
          <w:lang w:val="nl-NL"/>
        </w:rPr>
        <w:t>12. Bronnenlijst</w:t>
      </w:r>
      <w:bookmarkEnd w:id="20"/>
    </w:p>
    <w:p w14:paraId="0EA27BF2" w14:textId="77777777" w:rsidR="00DA1303" w:rsidRPr="00E2191E" w:rsidRDefault="001E7F7C">
      <w:pPr>
        <w:spacing w:after="120"/>
        <w:rPr>
          <w:lang w:val="nl-NL"/>
        </w:rPr>
      </w:pPr>
      <w:r w:rsidRPr="00E2191E">
        <w:rPr>
          <w:lang w:val="nl-NL"/>
        </w:rPr>
        <w:t>Voorlopige bronnen (aan te vullen):</w:t>
      </w:r>
    </w:p>
    <w:p w14:paraId="0A79A56B" w14:textId="77777777" w:rsidR="00DA1303" w:rsidRPr="00E2191E" w:rsidRDefault="001E7F7C">
      <w:pPr>
        <w:pStyle w:val="Lijstalinea"/>
        <w:numPr>
          <w:ilvl w:val="0"/>
          <w:numId w:val="2"/>
        </w:numPr>
        <w:spacing w:after="60"/>
        <w:rPr>
          <w:lang w:val="nl-NL"/>
        </w:rPr>
      </w:pPr>
      <w:r w:rsidRPr="00E2191E">
        <w:rPr>
          <w:lang w:val="nl-NL"/>
        </w:rPr>
        <w:t>NEN-7510:2024-2 — Informatiebeveiliging in de zorg.</w:t>
      </w:r>
    </w:p>
    <w:p w14:paraId="77CBBDAE" w14:textId="77777777" w:rsidR="00DA1303" w:rsidRPr="00E2191E" w:rsidRDefault="001E7F7C">
      <w:pPr>
        <w:pStyle w:val="Lijstalinea"/>
        <w:numPr>
          <w:ilvl w:val="0"/>
          <w:numId w:val="2"/>
        </w:numPr>
        <w:spacing w:after="60"/>
        <w:rPr>
          <w:lang w:val="nl-NL"/>
        </w:rPr>
      </w:pPr>
      <w:r w:rsidRPr="00E2191E">
        <w:rPr>
          <w:lang w:val="nl-NL"/>
        </w:rPr>
        <w:t>OpenMRS Legacy UI Module v1.20.0 — broncode (baseline-tag baseline-legacyui-1.20.0).</w:t>
      </w:r>
    </w:p>
    <w:p w14:paraId="5E38A4CF" w14:textId="77777777" w:rsidR="00DA1303" w:rsidRPr="00E2191E" w:rsidRDefault="001E7F7C">
      <w:pPr>
        <w:pStyle w:val="Lijstalinea"/>
        <w:numPr>
          <w:ilvl w:val="0"/>
          <w:numId w:val="2"/>
        </w:numPr>
        <w:spacing w:after="60"/>
        <w:rPr>
          <w:lang w:val="nl-NL"/>
        </w:rPr>
      </w:pPr>
      <w:r w:rsidRPr="00E2191E">
        <w:rPr>
          <w:lang w:val="nl-NL"/>
        </w:rPr>
        <w:t>Tools: GitHub CodeQL (SAST), CycloneDX Maven plugin (SBOM), Dependabot.</w:t>
      </w:r>
    </w:p>
    <w:p w14:paraId="3E1788EB" w14:textId="77777777" w:rsidR="00DA1303" w:rsidRPr="00E2191E" w:rsidRDefault="001E7F7C">
      <w:pPr>
        <w:pStyle w:val="Kop3"/>
        <w:spacing w:after="120"/>
        <w:rPr>
          <w:lang w:val="nl-NL"/>
        </w:rPr>
      </w:pPr>
      <w:r>
        <w:t>Bijlagen (bewijsmateriaal)</w:t>
      </w:r>
    </w:p>
    <w:p>
      <w:pPr/>
      <w:r>
        <w:t>Index van het bewijsmateriaal; elke bijlage is een artefact in de repository. Paden zijn relatief aan openmrs-module-legacyui/.</w:t>
      </w:r>
    </w:p>
    <w:tbl>
      <w:tblPr>
        <w:tblLook w:firstColumn="1" w:firstRow="1" w:lastColumn="0" w:lastRow="0" w:noHBand="0" w:noVBand="1" w:val="04A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Bijlage</w:t>
            </w:r>
          </w:p>
        </w:tc>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Inhoud</w:t>
            </w:r>
          </w:p>
        </w:tc>
        <w:tc>
          <w:tcPr>
            <w:tcW w:type="dxa" w:w="3120"/>
            <w:tcBorders>
              <w:top w:val="single" w:sz="1" w:space="0" w:color="CCCCCC"/>
              <w:left w:val="single" w:sz="1" w:space="0" w:color="CCCCCC"/>
              <w:bottom w:val="single" w:sz="1" w:space="0" w:color="CCCCCC"/>
              <w:right w:val="single" w:sz="1" w:space="0" w:color="CCCCCC"/>
            </w:tcBorders>
            <w:shd w:val="clear" w:color="auto" w:fill="D5E8F0"/>
          </w:tcPr>
          <w:p>
            <w:r>
              <w:rPr>
                <w:b/>
              </w:rPr>
              <w:t>Locatie</w:t>
            </w:r>
          </w:p>
        </w:tc>
      </w:tr>
      <w:tr>
        <w:tc>
          <w:tcPr>
            <w:tcW w:type="dxa" w:w="3120"/>
            <w:tcBorders>
              <w:top w:val="single" w:sz="1" w:space="0" w:color="CCCCCC"/>
              <w:left w:val="single" w:sz="1" w:space="0" w:color="CCCCCC"/>
              <w:bottom w:val="single" w:sz="1" w:space="0" w:color="CCCCCC"/>
              <w:right w:val="single" w:sz="1" w:space="0" w:color="CCCCCC"/>
            </w:tcBorders>
          </w:tcPr>
          <w:p>
            <w:r>
              <w:t>A. Traceability matrix</w:t>
            </w:r>
          </w:p>
        </w:tc>
        <w:tc>
          <w:tcPr>
            <w:tcW w:type="dxa" w:w="3120"/>
            <w:tcBorders>
              <w:top w:val="single" w:sz="1" w:space="0" w:color="CCCCCC"/>
              <w:left w:val="single" w:sz="1" w:space="0" w:color="CCCCCC"/>
              <w:bottom w:val="single" w:sz="1" w:space="0" w:color="CCCCCC"/>
              <w:right w:val="single" w:sz="1" w:space="0" w:color="CCCCCC"/>
            </w:tcBorders>
          </w:tcPr>
          <w:p>
            <w:r>
              <w:t>Bewijsketen per bevinding (bron→fix→hertest→NEN)</w:t>
            </w:r>
          </w:p>
        </w:tc>
        <w:tc>
          <w:tcPr>
            <w:tcW w:type="dxa" w:w="3120"/>
            <w:tcBorders>
              <w:top w:val="single" w:sz="1" w:space="0" w:color="CCCCCC"/>
              <w:left w:val="single" w:sz="1" w:space="0" w:color="CCCCCC"/>
              <w:bottom w:val="single" w:sz="1" w:space="0" w:color="CCCCCC"/>
              <w:right w:val="single" w:sz="1" w:space="0" w:color="CCCCCC"/>
            </w:tcBorders>
          </w:tcPr>
          <w:p>
            <w:r>
              <w:t>docs/traceability-matrix.md</w:t>
            </w:r>
          </w:p>
        </w:tc>
      </w:tr>
      <w:tr>
        <w:tc>
          <w:tcPr>
            <w:tcW w:type="dxa" w:w="3120"/>
            <w:tcBorders>
              <w:top w:val="single" w:sz="1" w:space="0" w:color="CCCCCC"/>
              <w:left w:val="single" w:sz="1" w:space="0" w:color="CCCCCC"/>
              <w:bottom w:val="single" w:sz="1" w:space="0" w:color="CCCCCC"/>
              <w:right w:val="single" w:sz="1" w:space="0" w:color="CCCCCC"/>
            </w:tcBorders>
          </w:tcPr>
          <w:p>
            <w:r>
              <w:t>B. Risico-analyse &amp; bevindingen</w:t>
            </w:r>
          </w:p>
        </w:tc>
        <w:tc>
          <w:tcPr>
            <w:tcW w:type="dxa" w:w="3120"/>
            <w:tcBorders>
              <w:top w:val="single" w:sz="1" w:space="0" w:color="CCCCCC"/>
              <w:left w:val="single" w:sz="1" w:space="0" w:color="CCCCCC"/>
              <w:bottom w:val="single" w:sz="1" w:space="0" w:color="CCCCCC"/>
              <w:right w:val="single" w:sz="1" w:space="0" w:color="CCCCCC"/>
            </w:tcBorders>
          </w:tcPr>
          <w:p>
            <w:r>
              <w:t>Risico-onderbouwing per bevinding + niet-gedaan met reden</w:t>
            </w:r>
          </w:p>
        </w:tc>
        <w:tc>
          <w:tcPr>
            <w:tcW w:type="dxa" w:w="3120"/>
            <w:tcBorders>
              <w:top w:val="single" w:sz="1" w:space="0" w:color="CCCCCC"/>
              <w:left w:val="single" w:sz="1" w:space="0" w:color="CCCCCC"/>
              <w:bottom w:val="single" w:sz="1" w:space="0" w:color="CCCCCC"/>
              <w:right w:val="single" w:sz="1" w:space="0" w:color="CCCCCC"/>
            </w:tcBorders>
          </w:tcPr>
          <w:p>
            <w:r>
              <w:t>docs/risico-bevindingen.md</w:t>
            </w:r>
          </w:p>
        </w:tc>
      </w:tr>
      <w:tr>
        <w:tc>
          <w:tcPr>
            <w:tcW w:type="dxa" w:w="3120"/>
            <w:tcBorders>
              <w:top w:val="single" w:sz="1" w:space="0" w:color="CCCCCC"/>
              <w:left w:val="single" w:sz="1" w:space="0" w:color="CCCCCC"/>
              <w:bottom w:val="single" w:sz="1" w:space="0" w:color="CCCCCC"/>
              <w:right w:val="single" w:sz="1" w:space="0" w:color="CCCCCC"/>
            </w:tcBorders>
          </w:tcPr>
          <w:p>
            <w:r>
              <w:t>C. Gap-analyse NEN-7510</w:t>
            </w:r>
          </w:p>
        </w:tc>
        <w:tc>
          <w:tcPr>
            <w:tcW w:type="dxa" w:w="3120"/>
            <w:tcBorders>
              <w:top w:val="single" w:sz="1" w:space="0" w:color="CCCCCC"/>
              <w:left w:val="single" w:sz="1" w:space="0" w:color="CCCCCC"/>
              <w:bottom w:val="single" w:sz="1" w:space="0" w:color="CCCCCC"/>
              <w:right w:val="single" w:sz="1" w:space="0" w:color="CCCCCC"/>
            </w:tcBorders>
          </w:tcPr>
          <w:p>
            <w:r>
              <w:t>Per control: aanwezig/gedeeltelijk/afwezig, met eindoordelen</w:t>
            </w:r>
          </w:p>
        </w:tc>
        <w:tc>
          <w:tcPr>
            <w:tcW w:type="dxa" w:w="3120"/>
            <w:tcBorders>
              <w:top w:val="single" w:sz="1" w:space="0" w:color="CCCCCC"/>
              <w:left w:val="single" w:sz="1" w:space="0" w:color="CCCCCC"/>
              <w:bottom w:val="single" w:sz="1" w:space="0" w:color="CCCCCC"/>
              <w:right w:val="single" w:sz="1" w:space="0" w:color="CCCCCC"/>
            </w:tcBorders>
          </w:tcPr>
          <w:p>
            <w:r>
              <w:t>docs/gap-analyse-NEN7510.md</w:t>
            </w:r>
          </w:p>
        </w:tc>
      </w:tr>
      <w:tr>
        <w:tc>
          <w:tcPr>
            <w:tcW w:type="dxa" w:w="3120"/>
            <w:tcBorders>
              <w:top w:val="single" w:sz="1" w:space="0" w:color="CCCCCC"/>
              <w:left w:val="single" w:sz="1" w:space="0" w:color="CCCCCC"/>
              <w:bottom w:val="single" w:sz="1" w:space="0" w:color="CCCCCC"/>
              <w:right w:val="single" w:sz="1" w:space="0" w:color="CCCCCC"/>
            </w:tcBorders>
          </w:tcPr>
          <w:p>
            <w:r>
              <w:t>D. Risicocriteria</w:t>
            </w:r>
          </w:p>
        </w:tc>
        <w:tc>
          <w:tcPr>
            <w:tcW w:type="dxa" w:w="3120"/>
            <w:tcBorders>
              <w:top w:val="single" w:sz="1" w:space="0" w:color="CCCCCC"/>
              <w:left w:val="single" w:sz="1" w:space="0" w:color="CCCCCC"/>
              <w:bottom w:val="single" w:sz="1" w:space="0" w:color="CCCCCC"/>
              <w:right w:val="single" w:sz="1" w:space="0" w:color="CCCCCC"/>
            </w:tcBorders>
          </w:tcPr>
          <w:p>
            <w:r>
              <w:t>Schaal, grenswaarden en risicobereidheid (§6)</w:t>
            </w:r>
          </w:p>
        </w:tc>
        <w:tc>
          <w:tcPr>
            <w:tcW w:type="dxa" w:w="3120"/>
            <w:tcBorders>
              <w:top w:val="single" w:sz="1" w:space="0" w:color="CCCCCC"/>
              <w:left w:val="single" w:sz="1" w:space="0" w:color="CCCCCC"/>
              <w:bottom w:val="single" w:sz="1" w:space="0" w:color="CCCCCC"/>
              <w:right w:val="single" w:sz="1" w:space="0" w:color="CCCCCC"/>
            </w:tcBorders>
          </w:tcPr>
          <w:p>
            <w:r>
              <w:t>docs/risicocriteria.md</w:t>
            </w:r>
          </w:p>
        </w:tc>
      </w:tr>
      <w:tr>
        <w:tc>
          <w:tcPr>
            <w:tcW w:type="dxa" w:w="3120"/>
            <w:tcBorders>
              <w:top w:val="single" w:sz="1" w:space="0" w:color="CCCCCC"/>
              <w:left w:val="single" w:sz="1" w:space="0" w:color="CCCCCC"/>
              <w:bottom w:val="single" w:sz="1" w:space="0" w:color="CCCCCC"/>
              <w:right w:val="single" w:sz="1" w:space="0" w:color="CCCCCC"/>
            </w:tcBorders>
          </w:tcPr>
          <w:p>
            <w:r>
              <w:t>E. CIA/BIV-analyse</w:t>
            </w:r>
          </w:p>
        </w:tc>
        <w:tc>
          <w:tcPr>
            <w:tcW w:type="dxa" w:w="3120"/>
            <w:tcBorders>
              <w:top w:val="single" w:sz="1" w:space="0" w:color="CCCCCC"/>
              <w:left w:val="single" w:sz="1" w:space="0" w:color="CCCCCC"/>
              <w:bottom w:val="single" w:sz="1" w:space="0" w:color="CCCCCC"/>
              <w:right w:val="single" w:sz="1" w:space="0" w:color="CCCCCC"/>
            </w:tcBorders>
          </w:tcPr>
          <w:p>
            <w:r>
              <w:t>Kroonjuwelen en BIV-classificatie</w:t>
            </w:r>
          </w:p>
        </w:tc>
        <w:tc>
          <w:tcPr>
            <w:tcW w:type="dxa" w:w="3120"/>
            <w:tcBorders>
              <w:top w:val="single" w:sz="1" w:space="0" w:color="CCCCCC"/>
              <w:left w:val="single" w:sz="1" w:space="0" w:color="CCCCCC"/>
              <w:bottom w:val="single" w:sz="1" w:space="0" w:color="CCCCCC"/>
              <w:right w:val="single" w:sz="1" w:space="0" w:color="CCCCCC"/>
            </w:tcBorders>
          </w:tcPr>
          <w:p>
            <w:r>
              <w:t>docs/cia-biv-analyse.md</w:t>
            </w:r>
          </w:p>
        </w:tc>
      </w:tr>
      <w:tr>
        <w:tc>
          <w:tcPr>
            <w:tcW w:type="dxa" w:w="3120"/>
            <w:tcBorders>
              <w:top w:val="single" w:sz="1" w:space="0" w:color="CCCCCC"/>
              <w:left w:val="single" w:sz="1" w:space="0" w:color="CCCCCC"/>
              <w:bottom w:val="single" w:sz="1" w:space="0" w:color="CCCCCC"/>
              <w:right w:val="single" w:sz="1" w:space="0" w:color="CCCCCC"/>
            </w:tcBorders>
          </w:tcPr>
          <w:p>
            <w:r>
              <w:t>F. Attack surface samenvatting</w:t>
            </w:r>
          </w:p>
        </w:tc>
        <w:tc>
          <w:tcPr>
            <w:tcW w:type="dxa" w:w="3120"/>
            <w:tcBorders>
              <w:top w:val="single" w:sz="1" w:space="0" w:color="CCCCCC"/>
              <w:left w:val="single" w:sz="1" w:space="0" w:color="CCCCCC"/>
              <w:bottom w:val="single" w:sz="1" w:space="0" w:color="CCCCCC"/>
              <w:right w:val="single" w:sz="1" w:space="0" w:color="CCCCCC"/>
            </w:tcBorders>
          </w:tcPr>
          <w:p>
            <w:r>
              <w:t>34 entry points, top-5 risico’s, trust-aannames, STRIDE-koppeling</w:t>
            </w:r>
          </w:p>
        </w:tc>
        <w:tc>
          <w:tcPr>
            <w:tcW w:type="dxa" w:w="3120"/>
            <w:tcBorders>
              <w:top w:val="single" w:sz="1" w:space="0" w:color="CCCCCC"/>
              <w:left w:val="single" w:sz="1" w:space="0" w:color="CCCCCC"/>
              <w:bottom w:val="single" w:sz="1" w:space="0" w:color="CCCCCC"/>
              <w:right w:val="single" w:sz="1" w:space="0" w:color="CCCCCC"/>
            </w:tcBorders>
          </w:tcPr>
          <w:p>
            <w:r>
              <w:t>docs/attack-surface-samenvatting.md</w:t>
            </w:r>
          </w:p>
        </w:tc>
      </w:tr>
      <w:tr>
        <w:tc>
          <w:tcPr>
            <w:tcW w:type="dxa" w:w="3120"/>
            <w:tcBorders>
              <w:top w:val="single" w:sz="1" w:space="0" w:color="CCCCCC"/>
              <w:left w:val="single" w:sz="1" w:space="0" w:color="CCCCCC"/>
              <w:bottom w:val="single" w:sz="1" w:space="0" w:color="CCCCCC"/>
              <w:right w:val="single" w:sz="1" w:space="0" w:color="CCCCCC"/>
            </w:tcBorders>
          </w:tcPr>
          <w:p>
            <w:r>
              <w:t>G. Attack surface tabel</w:t>
            </w:r>
          </w:p>
        </w:tc>
        <w:tc>
          <w:tcPr>
            <w:tcW w:type="dxa" w:w="3120"/>
            <w:tcBorders>
              <w:top w:val="single" w:sz="1" w:space="0" w:color="CCCCCC"/>
              <w:left w:val="single" w:sz="1" w:space="0" w:color="CCCCCC"/>
              <w:bottom w:val="single" w:sz="1" w:space="0" w:color="CCCCCC"/>
              <w:right w:val="single" w:sz="1" w:space="0" w:color="CCCCCC"/>
            </w:tcBorders>
          </w:tcPr>
          <w:p>
            <w:r>
              <w:t>Volledige entry-point-tabel (primaire deliverable)</w:t>
            </w:r>
          </w:p>
        </w:tc>
        <w:tc>
          <w:tcPr>
            <w:tcW w:type="dxa" w:w="3120"/>
            <w:tcBorders>
              <w:top w:val="single" w:sz="1" w:space="0" w:color="CCCCCC"/>
              <w:left w:val="single" w:sz="1" w:space="0" w:color="CCCCCC"/>
              <w:bottom w:val="single" w:sz="1" w:space="0" w:color="CCCCCC"/>
              <w:right w:val="single" w:sz="1" w:space="0" w:color="CCCCCC"/>
            </w:tcBorders>
          </w:tcPr>
          <w:p>
            <w:r>
              <w:t>docs/attack-surface-tabel.md</w:t>
            </w:r>
          </w:p>
        </w:tc>
      </w:tr>
      <w:tr>
        <w:tc>
          <w:tcPr>
            <w:tcW w:type="dxa" w:w="3120"/>
            <w:tcBorders>
              <w:top w:val="single" w:sz="1" w:space="0" w:color="CCCCCC"/>
              <w:left w:val="single" w:sz="1" w:space="0" w:color="CCCCCC"/>
              <w:bottom w:val="single" w:sz="1" w:space="0" w:color="CCCCCC"/>
              <w:right w:val="single" w:sz="1" w:space="0" w:color="CCCCCC"/>
            </w:tcBorders>
          </w:tcPr>
          <w:p>
            <w:r>
              <w:t>H. Pentestplan</w:t>
            </w:r>
          </w:p>
        </w:tc>
        <w:tc>
          <w:tcPr>
            <w:tcW w:type="dxa" w:w="3120"/>
            <w:tcBorders>
              <w:top w:val="single" w:sz="1" w:space="0" w:color="CCCCCC"/>
              <w:left w:val="single" w:sz="1" w:space="0" w:color="CCCCCC"/>
              <w:bottom w:val="single" w:sz="1" w:space="0" w:color="CCCCCC"/>
              <w:right w:val="single" w:sz="1" w:space="0" w:color="CCCCCC"/>
            </w:tcBorders>
          </w:tcPr>
          <w:p>
            <w:r>
              <w:t>Bevindingen, besluitkader, resultaten (incl. weerlegde T4)</w:t>
            </w:r>
          </w:p>
        </w:tc>
        <w:tc>
          <w:tcPr>
            <w:tcW w:type="dxa" w:w="3120"/>
            <w:tcBorders>
              <w:top w:val="single" w:sz="1" w:space="0" w:color="CCCCCC"/>
              <w:left w:val="single" w:sz="1" w:space="0" w:color="CCCCCC"/>
              <w:bottom w:val="single" w:sz="1" w:space="0" w:color="CCCCCC"/>
              <w:right w:val="single" w:sz="1" w:space="0" w:color="CCCCCC"/>
            </w:tcBorders>
          </w:tcPr>
          <w:p>
            <w:r>
              <w:t>docs/pentestplan.md</w:t>
            </w:r>
          </w:p>
        </w:tc>
      </w:tr>
      <w:tr>
        <w:tc>
          <w:tcPr>
            <w:tcW w:type="dxa" w:w="3120"/>
            <w:tcBorders>
              <w:top w:val="single" w:sz="1" w:space="0" w:color="CCCCCC"/>
              <w:left w:val="single" w:sz="1" w:space="0" w:color="CCCCCC"/>
              <w:bottom w:val="single" w:sz="1" w:space="0" w:color="CCCCCC"/>
              <w:right w:val="single" w:sz="1" w:space="0" w:color="CCCCCC"/>
            </w:tcBorders>
          </w:tcPr>
          <w:p>
            <w:r>
              <w:t>I. Pentest-bewijs</w:t>
            </w:r>
          </w:p>
        </w:tc>
        <w:tc>
          <w:tcPr>
            <w:tcW w:type="dxa" w:w="3120"/>
            <w:tcBorders>
              <w:top w:val="single" w:sz="1" w:space="0" w:color="CCCCCC"/>
              <w:left w:val="single" w:sz="1" w:space="0" w:color="CCCCCC"/>
              <w:bottom w:val="single" w:sz="1" w:space="0" w:color="CCCCCC"/>
              <w:right w:val="single" w:sz="1" w:space="0" w:color="CCCCCC"/>
            </w:tcBorders>
          </w:tcPr>
          <w:p>
            <w:r>
              <w:t>Bewijsdumps per test, incl. hertest na fix</w:t>
            </w:r>
          </w:p>
        </w:tc>
        <w:tc>
          <w:tcPr>
            <w:tcW w:type="dxa" w:w="3120"/>
            <w:tcBorders>
              <w:top w:val="single" w:sz="1" w:space="0" w:color="CCCCCC"/>
              <w:left w:val="single" w:sz="1" w:space="0" w:color="CCCCCC"/>
              <w:bottom w:val="single" w:sz="1" w:space="0" w:color="CCCCCC"/>
              <w:right w:val="single" w:sz="1" w:space="0" w:color="CCCCCC"/>
            </w:tcBorders>
          </w:tcPr>
          <w:p>
            <w:r>
              <w:t>docs/pentest-bewijs/T*/</w:t>
            </w:r>
          </w:p>
        </w:tc>
      </w:tr>
      <w:tr>
        <w:tc>
          <w:tcPr>
            <w:tcW w:type="dxa" w:w="3120"/>
            <w:tcBorders>
              <w:top w:val="single" w:sz="1" w:space="0" w:color="CCCCCC"/>
              <w:left w:val="single" w:sz="1" w:space="0" w:color="CCCCCC"/>
              <w:bottom w:val="single" w:sz="1" w:space="0" w:color="CCCCCC"/>
              <w:right w:val="single" w:sz="1" w:space="0" w:color="CCCCCC"/>
            </w:tcBorders>
          </w:tcPr>
          <w:p>
            <w:r>
              <w:t>J. Pentest-omgeving</w:t>
            </w:r>
          </w:p>
        </w:tc>
        <w:tc>
          <w:tcPr>
            <w:tcW w:type="dxa" w:w="3120"/>
            <w:tcBorders>
              <w:top w:val="single" w:sz="1" w:space="0" w:color="CCCCCC"/>
              <w:left w:val="single" w:sz="1" w:space="0" w:color="CCCCCC"/>
              <w:bottom w:val="single" w:sz="1" w:space="0" w:color="CCCCCC"/>
              <w:right w:val="single" w:sz="1" w:space="0" w:color="CCCCCC"/>
            </w:tcBorders>
          </w:tcPr>
          <w:p>
            <w:r>
              <w:t>Dockerfile + compose van de testopstelling</w:t>
            </w:r>
          </w:p>
        </w:tc>
        <w:tc>
          <w:tcPr>
            <w:tcW w:type="dxa" w:w="3120"/>
            <w:tcBorders>
              <w:top w:val="single" w:sz="1" w:space="0" w:color="CCCCCC"/>
              <w:left w:val="single" w:sz="1" w:space="0" w:color="CCCCCC"/>
              <w:bottom w:val="single" w:sz="1" w:space="0" w:color="CCCCCC"/>
              <w:right w:val="single" w:sz="1" w:space="0" w:color="CCCCCC"/>
            </w:tcBorders>
          </w:tcPr>
          <w:p>
            <w:r>
              <w:t>docs/pentest-omgeving/</w:t>
            </w:r>
          </w:p>
        </w:tc>
      </w:tr>
      <w:tr>
        <w:tc>
          <w:tcPr>
            <w:tcW w:type="dxa" w:w="3120"/>
            <w:tcBorders>
              <w:top w:val="single" w:sz="1" w:space="0" w:color="CCCCCC"/>
              <w:left w:val="single" w:sz="1" w:space="0" w:color="CCCCCC"/>
              <w:bottom w:val="single" w:sz="1" w:space="0" w:color="CCCCCC"/>
              <w:right w:val="single" w:sz="1" w:space="0" w:color="CCCCCC"/>
            </w:tcBorders>
          </w:tcPr>
          <w:p>
            <w:r>
              <w:t>K. SBOM &amp; supply chain</w:t>
            </w:r>
          </w:p>
        </w:tc>
        <w:tc>
          <w:tcPr>
            <w:tcW w:type="dxa" w:w="3120"/>
            <w:tcBorders>
              <w:top w:val="single" w:sz="1" w:space="0" w:color="CCCCCC"/>
              <w:left w:val="single" w:sz="1" w:space="0" w:color="CCCCCC"/>
              <w:bottom w:val="single" w:sz="1" w:space="0" w:color="CCCCCC"/>
              <w:right w:val="single" w:sz="1" w:space="0" w:color="CCCCCC"/>
            </w:tcBorders>
          </w:tcPr>
          <w:p>
            <w:r>
              <w:t>Kwetsbaarheidsbeeld, update-advies, GHAS comply-or-explain</w:t>
            </w:r>
          </w:p>
        </w:tc>
        <w:tc>
          <w:tcPr>
            <w:tcW w:type="dxa" w:w="3120"/>
            <w:tcBorders>
              <w:top w:val="single" w:sz="1" w:space="0" w:color="CCCCCC"/>
              <w:left w:val="single" w:sz="1" w:space="0" w:color="CCCCCC"/>
              <w:bottom w:val="single" w:sz="1" w:space="0" w:color="CCCCCC"/>
              <w:right w:val="single" w:sz="1" w:space="0" w:color="CCCCCC"/>
            </w:tcBorders>
          </w:tcPr>
          <w:p>
            <w:r>
              <w:t>docs/sbom-supply-chain.md</w:t>
            </w:r>
          </w:p>
        </w:tc>
      </w:tr>
      <w:tr>
        <w:tc>
          <w:tcPr>
            <w:tcW w:type="dxa" w:w="3120"/>
            <w:tcBorders>
              <w:top w:val="single" w:sz="1" w:space="0" w:color="CCCCCC"/>
              <w:left w:val="single" w:sz="1" w:space="0" w:color="CCCCCC"/>
              <w:bottom w:val="single" w:sz="1" w:space="0" w:color="CCCCCC"/>
              <w:right w:val="single" w:sz="1" w:space="0" w:color="CCCCCC"/>
            </w:tcBorders>
          </w:tcPr>
          <w:p>
            <w:r>
              <w:t>L. SBOM-artefact (CycloneDX)</w:t>
            </w:r>
          </w:p>
        </w:tc>
        <w:tc>
          <w:tcPr>
            <w:tcW w:type="dxa" w:w="3120"/>
            <w:tcBorders>
              <w:top w:val="single" w:sz="1" w:space="0" w:color="CCCCCC"/>
              <w:left w:val="single" w:sz="1" w:space="0" w:color="CCCCCC"/>
              <w:bottom w:val="single" w:sz="1" w:space="0" w:color="CCCCCC"/>
              <w:right w:val="single" w:sz="1" w:space="0" w:color="CCCCCC"/>
            </w:tcBorders>
          </w:tcPr>
          <w:p>
            <w:r>
              <w:t>Machineleesbaar componentenoverzicht (1.5)</w:t>
            </w:r>
          </w:p>
        </w:tc>
        <w:tc>
          <w:tcPr>
            <w:tcW w:type="dxa" w:w="3120"/>
            <w:tcBorders>
              <w:top w:val="single" w:sz="1" w:space="0" w:color="CCCCCC"/>
              <w:left w:val="single" w:sz="1" w:space="0" w:color="CCCCCC"/>
              <w:bottom w:val="single" w:sz="1" w:space="0" w:color="CCCCCC"/>
              <w:right w:val="single" w:sz="1" w:space="0" w:color="CCCCCC"/>
            </w:tcBorders>
          </w:tcPr>
          <w:p>
            <w:r>
              <w:t>CI-artifact sbom-cyclonedx (.github/workflows/ci.yml)</w:t>
            </w:r>
          </w:p>
        </w:tc>
      </w:tr>
      <w:tr>
        <w:tc>
          <w:tcPr>
            <w:tcW w:type="dxa" w:w="3120"/>
            <w:tcBorders>
              <w:top w:val="single" w:sz="1" w:space="0" w:color="CCCCCC"/>
              <w:left w:val="single" w:sz="1" w:space="0" w:color="CCCCCC"/>
              <w:bottom w:val="single" w:sz="1" w:space="0" w:color="CCCCCC"/>
              <w:right w:val="single" w:sz="1" w:space="0" w:color="CCCCCC"/>
            </w:tcBorders>
          </w:tcPr>
          <w:p>
            <w:r>
              <w:t>M. Snyk SCA-rapport</w:t>
            </w:r>
          </w:p>
        </w:tc>
        <w:tc>
          <w:tcPr>
            <w:tcW w:type="dxa" w:w="3120"/>
            <w:tcBorders>
              <w:top w:val="single" w:sz="1" w:space="0" w:color="CCCCCC"/>
              <w:left w:val="single" w:sz="1" w:space="0" w:color="CCCCCC"/>
              <w:bottom w:val="single" w:sz="1" w:space="0" w:color="CCCCCC"/>
              <w:right w:val="single" w:sz="1" w:space="0" w:color="CCCCCC"/>
            </w:tcBorders>
          </w:tcPr>
          <w:p>
            <w:r>
              <w:t>SCA-scanresultaat</w:t>
            </w:r>
          </w:p>
        </w:tc>
        <w:tc>
          <w:tcPr>
            <w:tcW w:type="dxa" w:w="3120"/>
            <w:tcBorders>
              <w:top w:val="single" w:sz="1" w:space="0" w:color="CCCCCC"/>
              <w:left w:val="single" w:sz="1" w:space="0" w:color="CCCCCC"/>
              <w:bottom w:val="single" w:sz="1" w:space="0" w:color="CCCCCC"/>
              <w:right w:val="single" w:sz="1" w:space="0" w:color="CCCCCC"/>
            </w:tcBorders>
          </w:tcPr>
          <w:p>
            <w:r>
              <w:t>CI-artifact (.github/workflows/snyk-sca.yml)</w:t>
            </w:r>
          </w:p>
        </w:tc>
      </w:tr>
      <w:tr>
        <w:tc>
          <w:tcPr>
            <w:tcW w:type="dxa" w:w="3120"/>
            <w:tcBorders>
              <w:top w:val="single" w:sz="1" w:space="0" w:color="CCCCCC"/>
              <w:left w:val="single" w:sz="1" w:space="0" w:color="CCCCCC"/>
              <w:bottom w:val="single" w:sz="1" w:space="0" w:color="CCCCCC"/>
              <w:right w:val="single" w:sz="1" w:space="0" w:color="CCCCCC"/>
            </w:tcBorders>
          </w:tcPr>
          <w:p>
            <w:r>
              <w:t>N. CodeQL-resultaat</w:t>
            </w:r>
          </w:p>
        </w:tc>
        <w:tc>
          <w:tcPr>
            <w:tcW w:type="dxa" w:w="3120"/>
            <w:tcBorders>
              <w:top w:val="single" w:sz="1" w:space="0" w:color="CCCCCC"/>
              <w:left w:val="single" w:sz="1" w:space="0" w:color="CCCCCC"/>
              <w:bottom w:val="single" w:sz="1" w:space="0" w:color="CCCCCC"/>
              <w:right w:val="single" w:sz="1" w:space="0" w:color="CCCCCC"/>
            </w:tcBorders>
          </w:tcPr>
          <w:p>
            <w:r>
              <w:t>SAST (SARIF, als CI-artifact i.p.v. Security-tab)</w:t>
            </w:r>
          </w:p>
        </w:tc>
        <w:tc>
          <w:tcPr>
            <w:tcW w:type="dxa" w:w="3120"/>
            <w:tcBorders>
              <w:top w:val="single" w:sz="1" w:space="0" w:color="CCCCCC"/>
              <w:left w:val="single" w:sz="1" w:space="0" w:color="CCCCCC"/>
              <w:bottom w:val="single" w:sz="1" w:space="0" w:color="CCCCCC"/>
              <w:right w:val="single" w:sz="1" w:space="0" w:color="CCCCCC"/>
            </w:tcBorders>
          </w:tcPr>
          <w:p>
            <w:r>
              <w:t>CI-artifact (.github/workflows/codeql.yml)</w:t>
            </w:r>
          </w:p>
        </w:tc>
      </w:tr>
      <w:tr>
        <w:tc>
          <w:tcPr>
            <w:tcW w:type="dxa" w:w="3120"/>
            <w:tcBorders>
              <w:top w:val="single" w:sz="1" w:space="0" w:color="CCCCCC"/>
              <w:left w:val="single" w:sz="1" w:space="0" w:color="CCCCCC"/>
              <w:bottom w:val="single" w:sz="1" w:space="0" w:color="CCCCCC"/>
              <w:right w:val="single" w:sz="1" w:space="0" w:color="CCCCCC"/>
            </w:tcBorders>
          </w:tcPr>
          <w:p>
            <w:r>
              <w:t>O. JaCoCo coverage-rapport</w:t>
            </w:r>
          </w:p>
        </w:tc>
        <w:tc>
          <w:tcPr>
            <w:tcW w:type="dxa" w:w="3120"/>
            <w:tcBorders>
              <w:top w:val="single" w:sz="1" w:space="0" w:color="CCCCCC"/>
              <w:left w:val="single" w:sz="1" w:space="0" w:color="CCCCCC"/>
              <w:bottom w:val="single" w:sz="1" w:space="0" w:color="CCCCCC"/>
              <w:right w:val="single" w:sz="1" w:space="0" w:color="CCCCCC"/>
            </w:tcBorders>
          </w:tcPr>
          <w:p>
            <w:r>
              <w:t>Codedekking security-relevante klassen</w:t>
            </w:r>
          </w:p>
        </w:tc>
        <w:tc>
          <w:tcPr>
            <w:tcW w:type="dxa" w:w="3120"/>
            <w:tcBorders>
              <w:top w:val="single" w:sz="1" w:space="0" w:color="CCCCCC"/>
              <w:left w:val="single" w:sz="1" w:space="0" w:color="CCCCCC"/>
              <w:bottom w:val="single" w:sz="1" w:space="0" w:color="CCCCCC"/>
              <w:right w:val="single" w:sz="1" w:space="0" w:color="CCCCCC"/>
            </w:tcBorders>
          </w:tcPr>
          <w:p>
            <w:r>
              <w:t>CI-artifact jacoco-coverage</w:t>
            </w:r>
          </w:p>
        </w:tc>
      </w:tr>
      <w:tr>
        <w:tc>
          <w:tcPr>
            <w:tcW w:type="dxa" w:w="3120"/>
            <w:tcBorders>
              <w:top w:val="single" w:sz="1" w:space="0" w:color="CCCCCC"/>
              <w:left w:val="single" w:sz="1" w:space="0" w:color="CCCCCC"/>
              <w:bottom w:val="single" w:sz="1" w:space="0" w:color="CCCCCC"/>
              <w:right w:val="single" w:sz="1" w:space="0" w:color="CCCCCC"/>
            </w:tcBorders>
          </w:tcPr>
          <w:p>
            <w:r>
              <w:t>P. Risk assessment report</w:t>
            </w:r>
          </w:p>
        </w:tc>
        <w:tc>
          <w:tcPr>
            <w:tcW w:type="dxa" w:w="3120"/>
            <w:tcBorders>
              <w:top w:val="single" w:sz="1" w:space="0" w:color="CCCCCC"/>
              <w:left w:val="single" w:sz="1" w:space="0" w:color="CCCCCC"/>
              <w:bottom w:val="single" w:sz="1" w:space="0" w:color="CCCCCC"/>
              <w:right w:val="single" w:sz="1" w:space="0" w:color="CCCCCC"/>
            </w:tcBorders>
          </w:tcPr>
          <w:p>
            <w:r>
              <w:t>Geïntegreerd risico- en patchadvies met kostenraming</w:t>
            </w:r>
          </w:p>
        </w:tc>
        <w:tc>
          <w:tcPr>
            <w:tcW w:type="dxa" w:w="3120"/>
            <w:tcBorders>
              <w:top w:val="single" w:sz="1" w:space="0" w:color="CCCCCC"/>
              <w:left w:val="single" w:sz="1" w:space="0" w:color="CCCCCC"/>
              <w:bottom w:val="single" w:sz="1" w:space="0" w:color="CCCCCC"/>
              <w:right w:val="single" w:sz="1" w:space="0" w:color="CCCCCC"/>
            </w:tcBorders>
          </w:tcPr>
          <w:p>
            <w:r>
              <w:t>docs/risk-assessment-report.md</w:t>
            </w:r>
          </w:p>
        </w:tc>
      </w:tr>
      <w:tr>
        <w:tc>
          <w:tcPr>
            <w:tcW w:type="dxa" w:w="3120"/>
            <w:tcBorders>
              <w:top w:val="single" w:sz="1" w:space="0" w:color="CCCCCC"/>
              <w:left w:val="single" w:sz="1" w:space="0" w:color="CCCCCC"/>
              <w:bottom w:val="single" w:sz="1" w:space="0" w:color="CCCCCC"/>
              <w:right w:val="single" w:sz="1" w:space="0" w:color="CCCCCC"/>
            </w:tcBorders>
          </w:tcPr>
          <w:p>
            <w:r>
              <w:t>Q. Triagebeleid</w:t>
            </w:r>
          </w:p>
        </w:tc>
        <w:tc>
          <w:tcPr>
            <w:tcW w:type="dxa" w:w="3120"/>
            <w:tcBorders>
              <w:top w:val="single" w:sz="1" w:space="0" w:color="CCCCCC"/>
              <w:left w:val="single" w:sz="1" w:space="0" w:color="CCCCCC"/>
              <w:bottom w:val="single" w:sz="1" w:space="0" w:color="CCCCCC"/>
              <w:right w:val="single" w:sz="1" w:space="0" w:color="CCCCCC"/>
            </w:tcBorders>
          </w:tcPr>
          <w:p>
            <w:r>
              <w:t>Fix/Accept/False positive/Defer + onderdrukkingsregels</w:t>
            </w:r>
          </w:p>
        </w:tc>
        <w:tc>
          <w:tcPr>
            <w:tcW w:type="dxa" w:w="3120"/>
            <w:tcBorders>
              <w:top w:val="single" w:sz="1" w:space="0" w:color="CCCCCC"/>
              <w:left w:val="single" w:sz="1" w:space="0" w:color="CCCCCC"/>
              <w:bottom w:val="single" w:sz="1" w:space="0" w:color="CCCCCC"/>
              <w:right w:val="single" w:sz="1" w:space="0" w:color="CCCCCC"/>
            </w:tcBorders>
          </w:tcPr>
          <w:p>
            <w:r>
              <w:t>docs/false-positive-beleid.md</w:t>
            </w:r>
          </w:p>
        </w:tc>
      </w:tr>
      <w:tr>
        <w:tc>
          <w:tcPr>
            <w:tcW w:type="dxa" w:w="3120"/>
            <w:tcBorders>
              <w:top w:val="single" w:sz="1" w:space="0" w:color="CCCCCC"/>
              <w:left w:val="single" w:sz="1" w:space="0" w:color="CCCCCC"/>
              <w:bottom w:val="single" w:sz="1" w:space="0" w:color="CCCCCC"/>
              <w:right w:val="single" w:sz="1" w:space="0" w:color="CCCCCC"/>
            </w:tcBorders>
          </w:tcPr>
          <w:p>
            <w:r>
              <w:t>R. Security backlog</w:t>
            </w:r>
          </w:p>
        </w:tc>
        <w:tc>
          <w:tcPr>
            <w:tcW w:type="dxa" w:w="3120"/>
            <w:tcBorders>
              <w:top w:val="single" w:sz="1" w:space="0" w:color="CCCCCC"/>
              <w:left w:val="single" w:sz="1" w:space="0" w:color="CCCCCC"/>
              <w:bottom w:val="single" w:sz="1" w:space="0" w:color="CCCCCC"/>
              <w:right w:val="single" w:sz="1" w:space="0" w:color="CCCCCC"/>
            </w:tcBorders>
          </w:tcPr>
          <w:p>
            <w:r>
              <w:t>Geprioriteerde vervolgmaatregelen (P1/P2/P3)</w:t>
            </w:r>
          </w:p>
        </w:tc>
        <w:tc>
          <w:tcPr>
            <w:tcW w:type="dxa" w:w="3120"/>
            <w:tcBorders>
              <w:top w:val="single" w:sz="1" w:space="0" w:color="CCCCCC"/>
              <w:left w:val="single" w:sz="1" w:space="0" w:color="CCCCCC"/>
              <w:bottom w:val="single" w:sz="1" w:space="0" w:color="CCCCCC"/>
              <w:right w:val="single" w:sz="1" w:space="0" w:color="CCCCCC"/>
            </w:tcBorders>
          </w:tcPr>
          <w:p>
            <w:r>
              <w:t>docs/security-backlog.md</w:t>
            </w:r>
          </w:p>
        </w:tc>
      </w:tr>
      <w:tr>
        <w:tc>
          <w:tcPr>
            <w:tcW w:type="dxa" w:w="3120"/>
            <w:tcBorders>
              <w:top w:val="single" w:sz="1" w:space="0" w:color="CCCCCC"/>
              <w:left w:val="single" w:sz="1" w:space="0" w:color="CCCCCC"/>
              <w:bottom w:val="single" w:sz="1" w:space="0" w:color="CCCCCC"/>
              <w:right w:val="single" w:sz="1" w:space="0" w:color="CCCCCC"/>
            </w:tcBorders>
          </w:tcPr>
          <w:p>
            <w:r>
              <w:t>S. CI/CD-risico-evaluatie</w:t>
            </w:r>
          </w:p>
        </w:tc>
        <w:tc>
          <w:tcPr>
            <w:tcW w:type="dxa" w:w="3120"/>
            <w:tcBorders>
              <w:top w:val="single" w:sz="1" w:space="0" w:color="CCCCCC"/>
              <w:left w:val="single" w:sz="1" w:space="0" w:color="CCCCCC"/>
              <w:bottom w:val="single" w:sz="1" w:space="0" w:color="CCCCCC"/>
              <w:right w:val="single" w:sz="1" w:space="0" w:color="CCCCCC"/>
            </w:tcBorders>
          </w:tcPr>
          <w:p>
            <w:r>
              <w:t>Risico’s in het pipelineproces</w:t>
            </w:r>
          </w:p>
        </w:tc>
        <w:tc>
          <w:tcPr>
            <w:tcW w:type="dxa" w:w="3120"/>
            <w:tcBorders>
              <w:top w:val="single" w:sz="1" w:space="0" w:color="CCCCCC"/>
              <w:left w:val="single" w:sz="1" w:space="0" w:color="CCCCCC"/>
              <w:bottom w:val="single" w:sz="1" w:space="0" w:color="CCCCCC"/>
              <w:right w:val="single" w:sz="1" w:space="0" w:color="CCCCCC"/>
            </w:tcBorders>
          </w:tcPr>
          <w:p>
            <w:r>
              <w:t>docs/cicd-risico-evaluatie.md</w:t>
            </w:r>
          </w:p>
        </w:tc>
      </w:tr>
      <w:tr>
        <w:tc>
          <w:tcPr>
            <w:tcW w:type="dxa" w:w="3120"/>
            <w:tcBorders>
              <w:top w:val="single" w:sz="1" w:space="0" w:color="CCCCCC"/>
              <w:left w:val="single" w:sz="1" w:space="0" w:color="CCCCCC"/>
              <w:bottom w:val="single" w:sz="1" w:space="0" w:color="CCCCCC"/>
              <w:right w:val="single" w:sz="1" w:space="0" w:color="CCCCCC"/>
            </w:tcBorders>
          </w:tcPr>
          <w:p>
            <w:r>
              <w:t>T. Mini-complianceverslag</w:t>
            </w:r>
          </w:p>
        </w:tc>
        <w:tc>
          <w:tcPr>
            <w:tcW w:type="dxa" w:w="3120"/>
            <w:tcBorders>
              <w:top w:val="single" w:sz="1" w:space="0" w:color="CCCCCC"/>
              <w:left w:val="single" w:sz="1" w:space="0" w:color="CCCCCC"/>
              <w:bottom w:val="single" w:sz="1" w:space="0" w:color="CCCCCC"/>
              <w:right w:val="single" w:sz="1" w:space="0" w:color="CCCCCC"/>
            </w:tcBorders>
          </w:tcPr>
          <w:p>
            <w:r>
              <w:t>Beheersmaatregelen M1–M8 (SBOM, CodeQL, Dependabot, branch protection, OTAP)</w:t>
            </w:r>
          </w:p>
        </w:tc>
        <w:tc>
          <w:tcPr>
            <w:tcW w:type="dxa" w:w="3120"/>
            <w:tcBorders>
              <w:top w:val="single" w:sz="1" w:space="0" w:color="CCCCCC"/>
              <w:left w:val="single" w:sz="1" w:space="0" w:color="CCCCCC"/>
              <w:bottom w:val="single" w:sz="1" w:space="0" w:color="CCCCCC"/>
              <w:right w:val="single" w:sz="1" w:space="0" w:color="CCCCCC"/>
            </w:tcBorders>
          </w:tcPr>
          <w:p>
            <w:r>
              <w:t>docs/mini-complianceverslag.md</w:t>
            </w:r>
          </w:p>
        </w:tc>
      </w:tr>
      <w:tr>
        <w:tc>
          <w:tcPr>
            <w:tcW w:type="dxa" w:w="3120"/>
            <w:tcBorders>
              <w:top w:val="single" w:sz="1" w:space="0" w:color="CCCCCC"/>
              <w:left w:val="single" w:sz="1" w:space="0" w:color="CCCCCC"/>
              <w:bottom w:val="single" w:sz="1" w:space="0" w:color="CCCCCC"/>
              <w:right w:val="single" w:sz="1" w:space="0" w:color="CCCCCC"/>
            </w:tcBorders>
          </w:tcPr>
          <w:p>
            <w:r>
              <w:t>U. CRA-mapping</w:t>
            </w:r>
          </w:p>
        </w:tc>
        <w:tc>
          <w:tcPr>
            <w:tcW w:type="dxa" w:w="3120"/>
            <w:tcBorders>
              <w:top w:val="single" w:sz="1" w:space="0" w:color="CCCCCC"/>
              <w:left w:val="single" w:sz="1" w:space="0" w:color="CCCCCC"/>
              <w:bottom w:val="single" w:sz="1" w:space="0" w:color="CCCCCC"/>
              <w:right w:val="single" w:sz="1" w:space="0" w:color="CCCCCC"/>
            </w:tcBorders>
          </w:tcPr>
          <w:p>
            <w:r>
              <w:t>Koppeling CRA-eisen (EU 2024/2847) aan auditbewijs</w:t>
            </w:r>
          </w:p>
        </w:tc>
        <w:tc>
          <w:tcPr>
            <w:tcW w:type="dxa" w:w="3120"/>
            <w:tcBorders>
              <w:top w:val="single" w:sz="1" w:space="0" w:color="CCCCCC"/>
              <w:left w:val="single" w:sz="1" w:space="0" w:color="CCCCCC"/>
              <w:bottom w:val="single" w:sz="1" w:space="0" w:color="CCCCCC"/>
              <w:right w:val="single" w:sz="1" w:space="0" w:color="CCCCCC"/>
            </w:tcBorders>
          </w:tcPr>
          <w:p>
            <w:r>
              <w:t>docs/cra-mapping.md</w:t>
            </w:r>
          </w:p>
        </w:tc>
      </w:tr>
      <w:tr>
        <w:tc>
          <w:tcPr>
            <w:tcW w:type="dxa" w:w="3120"/>
            <w:tcBorders>
              <w:top w:val="single" w:sz="1" w:space="0" w:color="CCCCCC"/>
              <w:left w:val="single" w:sz="1" w:space="0" w:color="CCCCCC"/>
              <w:bottom w:val="single" w:sz="1" w:space="0" w:color="CCCCCC"/>
              <w:right w:val="single" w:sz="1" w:space="0" w:color="CCCCCC"/>
            </w:tcBorders>
          </w:tcPr>
          <w:p>
            <w:r>
              <w:t>V. Scope &amp; context</w:t>
            </w:r>
          </w:p>
        </w:tc>
        <w:tc>
          <w:tcPr>
            <w:tcW w:type="dxa" w:w="3120"/>
            <w:tcBorders>
              <w:top w:val="single" w:sz="1" w:space="0" w:color="CCCCCC"/>
              <w:left w:val="single" w:sz="1" w:space="0" w:color="CCCCCC"/>
              <w:bottom w:val="single" w:sz="1" w:space="0" w:color="CCCCCC"/>
              <w:right w:val="single" w:sz="1" w:space="0" w:color="CCCCCC"/>
            </w:tcBorders>
          </w:tcPr>
          <w:p>
            <w:r>
              <w:t>Auditobject, afbakening, normkader</w:t>
            </w:r>
          </w:p>
        </w:tc>
        <w:tc>
          <w:tcPr>
            <w:tcW w:type="dxa" w:w="3120"/>
            <w:tcBorders>
              <w:top w:val="single" w:sz="1" w:space="0" w:color="CCCCCC"/>
              <w:left w:val="single" w:sz="1" w:space="0" w:color="CCCCCC"/>
              <w:bottom w:val="single" w:sz="1" w:space="0" w:color="CCCCCC"/>
              <w:right w:val="single" w:sz="1" w:space="0" w:color="CCCCCC"/>
            </w:tcBorders>
          </w:tcPr>
          <w:p>
            <w:r>
              <w:t>docs/scope-context.md</w:t>
            </w:r>
          </w:p>
        </w:tc>
      </w:tr>
      <w:tr>
        <w:tc>
          <w:tcPr>
            <w:tcW w:type="dxa" w:w="3120"/>
            <w:tcBorders>
              <w:top w:val="single" w:sz="1" w:space="0" w:color="CCCCCC"/>
              <w:left w:val="single" w:sz="1" w:space="0" w:color="CCCCCC"/>
              <w:bottom w:val="single" w:sz="1" w:space="0" w:color="CCCCCC"/>
              <w:right w:val="single" w:sz="1" w:space="0" w:color="CCCCCC"/>
            </w:tcBorders>
          </w:tcPr>
          <w:p>
            <w:r>
              <w:t>W. Audit-methodologie</w:t>
            </w:r>
          </w:p>
        </w:tc>
        <w:tc>
          <w:tcPr>
            <w:tcW w:type="dxa" w:w="3120"/>
            <w:tcBorders>
              <w:top w:val="single" w:sz="1" w:space="0" w:color="CCCCCC"/>
              <w:left w:val="single" w:sz="1" w:space="0" w:color="CCCCCC"/>
              <w:bottom w:val="single" w:sz="1" w:space="0" w:color="CCCCCC"/>
              <w:right w:val="single" w:sz="1" w:space="0" w:color="CCCCCC"/>
            </w:tcBorders>
          </w:tcPr>
          <w:p>
            <w:r>
              <w:t>Vier onderzoekssporen, herleidbaarheidsprincipe</w:t>
            </w:r>
          </w:p>
        </w:tc>
        <w:tc>
          <w:tcPr>
            <w:tcW w:type="dxa" w:w="3120"/>
            <w:tcBorders>
              <w:top w:val="single" w:sz="1" w:space="0" w:color="CCCCCC"/>
              <w:left w:val="single" w:sz="1" w:space="0" w:color="CCCCCC"/>
              <w:bottom w:val="single" w:sz="1" w:space="0" w:color="CCCCCC"/>
              <w:right w:val="single" w:sz="1" w:space="0" w:color="CCCCCC"/>
            </w:tcBorders>
          </w:tcPr>
          <w:p>
            <w:r>
              <w:t>docs/audit-methodologie.md</w:t>
            </w:r>
          </w:p>
        </w:tc>
      </w:tr>
    </w:tbl>
    <w:p>
      <w:pPr/>
      <w:r>
        <w:t>Artefacten gemarkeerd als "CI-artifact" worden bij elke pipeline-run geproduceerd en zijn via de GitHub Actions-run downloadbaar; ze staan niet als bestand in de repo omdat ze build-output zijn. Alle overige bijlagen staan onder versiebeheer in docs/.</w:t>
      </w:r>
    </w:p>
    <w:p>
      <w:pPr/>
      <w:r>
        <w:t>CVE-/CWE-referenties per bevinding staan in de traceability matrix (bijlage A) en het pentestrapport (bijlage H); de kwetsbare componenten en hun CVE-clustering in sbom-supply-chain.md (bijlage K).</w:t>
      </w:r>
    </w:p>
    <w:sectPr w:rsidR="00DA1303" w:rsidRPr="00E2191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702B" w14:textId="77777777" w:rsidR="000A2C6D" w:rsidRDefault="000A2C6D">
      <w:r>
        <w:separator/>
      </w:r>
    </w:p>
  </w:endnote>
  <w:endnote w:type="continuationSeparator" w:id="0">
    <w:p w14:paraId="0DC34E10" w14:textId="77777777" w:rsidR="000A2C6D" w:rsidRDefault="000A2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821D7" w14:textId="32891CD8" w:rsidR="00DA1303" w:rsidRDefault="001E7F7C">
    <w:pPr>
      <w:jc w:val="center"/>
    </w:pPr>
    <w:r>
      <w:rPr>
        <w:color w:val="999999"/>
        <w:sz w:val="16"/>
        <w:szCs w:val="16"/>
      </w:rPr>
      <w:t xml:space="preserve">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E2191E">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FDEC" w14:textId="77777777" w:rsidR="000A2C6D" w:rsidRDefault="000A2C6D">
      <w:r>
        <w:separator/>
      </w:r>
    </w:p>
  </w:footnote>
  <w:footnote w:type="continuationSeparator" w:id="0">
    <w:p w14:paraId="1354D00A" w14:textId="77777777" w:rsidR="000A2C6D" w:rsidRDefault="000A2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C0A4" w14:textId="77777777" w:rsidR="00DA1303" w:rsidRDefault="001E7F7C">
    <w:pPr>
      <w:pBdr>
        <w:bottom w:val="single" w:sz="4" w:space="4" w:color="CCCCCC"/>
      </w:pBdr>
      <w:jc w:val="right"/>
    </w:pPr>
    <w:r>
      <w:rPr>
        <w:color w:val="999999"/>
        <w:sz w:val="16"/>
        <w:szCs w:val="16"/>
      </w:rPr>
      <w:t>Auditrapport — Legacy UI Module v1.20.0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07D0"/>
    <w:multiLevelType w:val="hybridMultilevel"/>
    <w:tmpl w:val="4574D954"/>
    <w:lvl w:ilvl="0" w:tplc="EBEE9AD8">
      <w:start w:val="1"/>
      <w:numFmt w:val="bullet"/>
      <w:lvlText w:val="●"/>
      <w:lvlJc w:val="left"/>
      <w:pPr>
        <w:ind w:left="720" w:hanging="360"/>
      </w:pPr>
    </w:lvl>
    <w:lvl w:ilvl="1" w:tplc="E7C29ECA">
      <w:start w:val="1"/>
      <w:numFmt w:val="bullet"/>
      <w:lvlText w:val="○"/>
      <w:lvlJc w:val="left"/>
      <w:pPr>
        <w:ind w:left="1440" w:hanging="360"/>
      </w:pPr>
    </w:lvl>
    <w:lvl w:ilvl="2" w:tplc="2056055A">
      <w:start w:val="1"/>
      <w:numFmt w:val="bullet"/>
      <w:lvlText w:val="■"/>
      <w:lvlJc w:val="left"/>
      <w:pPr>
        <w:ind w:left="2160" w:hanging="360"/>
      </w:pPr>
    </w:lvl>
    <w:lvl w:ilvl="3" w:tplc="BEEAA920">
      <w:start w:val="1"/>
      <w:numFmt w:val="bullet"/>
      <w:lvlText w:val="●"/>
      <w:lvlJc w:val="left"/>
      <w:pPr>
        <w:ind w:left="2880" w:hanging="360"/>
      </w:pPr>
    </w:lvl>
    <w:lvl w:ilvl="4" w:tplc="C1BCB984">
      <w:start w:val="1"/>
      <w:numFmt w:val="bullet"/>
      <w:lvlText w:val="○"/>
      <w:lvlJc w:val="left"/>
      <w:pPr>
        <w:ind w:left="3600" w:hanging="360"/>
      </w:pPr>
    </w:lvl>
    <w:lvl w:ilvl="5" w:tplc="7144D650">
      <w:start w:val="1"/>
      <w:numFmt w:val="bullet"/>
      <w:lvlText w:val="■"/>
      <w:lvlJc w:val="left"/>
      <w:pPr>
        <w:ind w:left="4320" w:hanging="360"/>
      </w:pPr>
    </w:lvl>
    <w:lvl w:ilvl="6" w:tplc="715C650E">
      <w:start w:val="1"/>
      <w:numFmt w:val="bullet"/>
      <w:lvlText w:val="●"/>
      <w:lvlJc w:val="left"/>
      <w:pPr>
        <w:ind w:left="5040" w:hanging="360"/>
      </w:pPr>
    </w:lvl>
    <w:lvl w:ilvl="7" w:tplc="44700712">
      <w:start w:val="1"/>
      <w:numFmt w:val="bullet"/>
      <w:lvlText w:val="●"/>
      <w:lvlJc w:val="left"/>
      <w:pPr>
        <w:ind w:left="5760" w:hanging="360"/>
      </w:pPr>
    </w:lvl>
    <w:lvl w:ilvl="8" w:tplc="773A81A8">
      <w:start w:val="1"/>
      <w:numFmt w:val="bullet"/>
      <w:lvlText w:val="●"/>
      <w:lvlJc w:val="left"/>
      <w:pPr>
        <w:ind w:left="6480" w:hanging="360"/>
      </w:pPr>
    </w:lvl>
  </w:abstractNum>
  <w:abstractNum w:abstractNumId="1" w15:restartNumberingAfterBreak="0">
    <w:nsid w:val="4A09043C"/>
    <w:multiLevelType w:val="hybridMultilevel"/>
    <w:tmpl w:val="2E667262"/>
    <w:lvl w:ilvl="0" w:tplc="9A565C8E">
      <w:start w:val="1"/>
      <w:numFmt w:val="bullet"/>
      <w:lvlText w:val="•"/>
      <w:lvlJc w:val="left"/>
      <w:pPr>
        <w:ind w:left="720" w:hanging="360"/>
      </w:pPr>
    </w:lvl>
    <w:lvl w:ilvl="1" w:tplc="21840576">
      <w:numFmt w:val="decimal"/>
      <w:lvlText w:val=""/>
      <w:lvlJc w:val="left"/>
    </w:lvl>
    <w:lvl w:ilvl="2" w:tplc="DF7C136E">
      <w:numFmt w:val="decimal"/>
      <w:lvlText w:val=""/>
      <w:lvlJc w:val="left"/>
    </w:lvl>
    <w:lvl w:ilvl="3" w:tplc="E5048FD2">
      <w:numFmt w:val="decimal"/>
      <w:lvlText w:val=""/>
      <w:lvlJc w:val="left"/>
    </w:lvl>
    <w:lvl w:ilvl="4" w:tplc="1580319E">
      <w:numFmt w:val="decimal"/>
      <w:lvlText w:val=""/>
      <w:lvlJc w:val="left"/>
    </w:lvl>
    <w:lvl w:ilvl="5" w:tplc="F4063060">
      <w:numFmt w:val="decimal"/>
      <w:lvlText w:val=""/>
      <w:lvlJc w:val="left"/>
    </w:lvl>
    <w:lvl w:ilvl="6" w:tplc="5A9441B2">
      <w:numFmt w:val="decimal"/>
      <w:lvlText w:val=""/>
      <w:lvlJc w:val="left"/>
    </w:lvl>
    <w:lvl w:ilvl="7" w:tplc="D4984DB6">
      <w:numFmt w:val="decimal"/>
      <w:lvlText w:val=""/>
      <w:lvlJc w:val="left"/>
    </w:lvl>
    <w:lvl w:ilvl="8" w:tplc="D7F6A056">
      <w:numFmt w:val="decimal"/>
      <w:lvlText w:val=""/>
      <w:lvlJc w:val="left"/>
    </w:lvl>
  </w:abstractNum>
  <w:num w:numId="1" w16cid:durableId="1066033155">
    <w:abstractNumId w:val="0"/>
    <w:lvlOverride w:ilvl="0">
      <w:startOverride w:val="1"/>
    </w:lvlOverride>
  </w:num>
  <w:num w:numId="2" w16cid:durableId="2102945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303"/>
    <w:rsid w:val="00060658"/>
    <w:rsid w:val="000A2C6D"/>
    <w:rsid w:val="000C2D4B"/>
    <w:rsid w:val="001E7F7C"/>
    <w:rsid w:val="00CA769B"/>
    <w:rsid w:val="00DA1303"/>
    <w:rsid w:val="00E2191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048E"/>
  <w15:docId w15:val="{D6F0361D-3A41-4581-B709-46FAC473F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spacing w:before="280" w:after="160"/>
      <w:outlineLvl w:val="0"/>
    </w:pPr>
    <w:rPr>
      <w:b/>
      <w:bCs/>
      <w:color w:val="1F4E79"/>
      <w:sz w:val="30"/>
      <w:szCs w:val="30"/>
    </w:rPr>
  </w:style>
  <w:style w:type="paragraph" w:styleId="Kop2">
    <w:name w:val="heading 2"/>
    <w:uiPriority w:val="9"/>
    <w:unhideWhenUsed/>
    <w:qFormat/>
    <w:pPr>
      <w:spacing w:before="180" w:after="120"/>
      <w:outlineLvl w:val="1"/>
    </w:pPr>
    <w:rPr>
      <w:b/>
      <w:bCs/>
      <w:color w:val="2E75B6"/>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Inhopg1">
    <w:name w:val="toc 1"/>
    <w:basedOn w:val="Standaard"/>
    <w:next w:val="Standaard"/>
    <w:autoRedefine/>
    <w:uiPriority w:val="39"/>
    <w:unhideWhenUsed/>
    <w:rsid w:val="00E2191E"/>
    <w:pPr>
      <w:spacing w:after="100"/>
    </w:pPr>
  </w:style>
  <w:style w:type="paragraph" w:styleId="Inhopg2">
    <w:name w:val="toc 2"/>
    <w:basedOn w:val="Standaard"/>
    <w:next w:val="Standaard"/>
    <w:autoRedefine/>
    <w:uiPriority w:val="39"/>
    <w:unhideWhenUsed/>
    <w:rsid w:val="00E2191E"/>
    <w:pPr>
      <w:spacing w:after="100"/>
      <w:ind w:left="220"/>
    </w:pPr>
  </w:style>
  <w:style w:type="character" w:styleId="Onopgelostemelding">
    <w:name w:val="Unresolved Mention"/>
    <w:basedOn w:val="Standaardalinea-lettertype"/>
    <w:uiPriority w:val="99"/>
    <w:semiHidden/>
    <w:unhideWhenUsed/>
    <w:rsid w:val="00E2191E"/>
    <w:rPr>
      <w:color w:val="605E5C"/>
      <w:shd w:val="clear" w:color="auto" w:fill="E1DFDD"/>
    </w:rPr>
  </w:style>
  <w:style w:type="paragraph" w:styleId="Koptekst">
    <w:name w:val="header"/>
    <w:basedOn w:val="Standaard"/>
    <w:link w:val="KoptekstChar"/>
    <w:uiPriority w:val="99"/>
    <w:unhideWhenUsed/>
    <w:rsid w:val="00E2191E"/>
    <w:pPr>
      <w:tabs>
        <w:tab w:val="center" w:pos="4513"/>
        <w:tab w:val="right" w:pos="9026"/>
      </w:tabs>
    </w:pPr>
  </w:style>
  <w:style w:type="character" w:customStyle="1" w:styleId="KoptekstChar">
    <w:name w:val="Koptekst Char"/>
    <w:basedOn w:val="Standaardalinea-lettertype"/>
    <w:link w:val="Koptekst"/>
    <w:uiPriority w:val="99"/>
    <w:rsid w:val="00E2191E"/>
  </w:style>
  <w:style w:type="paragraph" w:styleId="Voettekst">
    <w:name w:val="footer"/>
    <w:basedOn w:val="Standaard"/>
    <w:link w:val="VoettekstChar"/>
    <w:uiPriority w:val="99"/>
    <w:unhideWhenUsed/>
    <w:rsid w:val="00E2191E"/>
    <w:pPr>
      <w:tabs>
        <w:tab w:val="center" w:pos="4513"/>
        <w:tab w:val="right" w:pos="9026"/>
      </w:tabs>
    </w:pPr>
  </w:style>
  <w:style w:type="character" w:customStyle="1" w:styleId="VoettekstChar">
    <w:name w:val="Voettekst Char"/>
    <w:basedOn w:val="Standaardalinea-lettertype"/>
    <w:link w:val="Voettekst"/>
    <w:uiPriority w:val="99"/>
    <w:rsid w:val="00E219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15"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59e4d6-be93-47f7-aba1-f2a9fea89d7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8401E153899459179217FEE822214" ma:contentTypeVersion="12" ma:contentTypeDescription="Create a new document." ma:contentTypeScope="" ma:versionID="b2e0c257fb4f9da06a37c66e33ae23d9">
  <xsd:schema xmlns:xsd="http://www.w3.org/2001/XMLSchema" xmlns:xs="http://www.w3.org/2001/XMLSchema" xmlns:p="http://schemas.microsoft.com/office/2006/metadata/properties" xmlns:ns3="1859e4d6-be93-47f7-aba1-f2a9fea89d74" targetNamespace="http://schemas.microsoft.com/office/2006/metadata/properties" ma:root="true" ma:fieldsID="6e9e21a7dfd71e59b4db1c930169175a" ns3:_="">
    <xsd:import namespace="1859e4d6-be93-47f7-aba1-f2a9fea89d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59e4d6-be93-47f7-aba1-f2a9fea89d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EBEA9C-84D5-4AFC-A5CE-18814820C765}">
  <ds:schemaRefs>
    <ds:schemaRef ds:uri="http://schemas.microsoft.com/office/2006/metadata/properties"/>
    <ds:schemaRef ds:uri="http://schemas.microsoft.com/office/infopath/2007/PartnerControls"/>
    <ds:schemaRef ds:uri="1859e4d6-be93-47f7-aba1-f2a9fea89d74"/>
  </ds:schemaRefs>
</ds:datastoreItem>
</file>

<file path=customXml/itemProps2.xml><?xml version="1.0" encoding="utf-8"?>
<ds:datastoreItem xmlns:ds="http://schemas.openxmlformats.org/officeDocument/2006/customXml" ds:itemID="{79174E6B-97D1-4BC3-88C2-2C8B046A4DA7}">
  <ds:schemaRefs>
    <ds:schemaRef ds:uri="http://schemas.microsoft.com/sharepoint/v3/contenttype/forms"/>
  </ds:schemaRefs>
</ds:datastoreItem>
</file>

<file path=customXml/itemProps3.xml><?xml version="1.0" encoding="utf-8"?>
<ds:datastoreItem xmlns:ds="http://schemas.openxmlformats.org/officeDocument/2006/customXml" ds:itemID="{843CFD48-100B-4214-B5A9-7DDA1870E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59e4d6-be93-47f7-aba1-f2a9fea89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c50b58-2ef2-423d-a4db-1fa7c84efcfa}" enabled="0" method="" siteId="{87c50b58-2ef2-423d-a4db-1fa7c84efcfa}" removed="1"/>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1471</Words>
  <Characters>8388</Characters>
  <Application>Microsoft Office Word</Application>
  <DocSecurity>0</DocSecurity>
  <Lines>69</Lines>
  <Paragraphs>19</Paragraphs>
  <ScaleCrop>false</ScaleCrop>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Serino Mulders</cp:lastModifiedBy>
  <cp:revision>2</cp:revision>
  <dcterms:created xsi:type="dcterms:W3CDTF">2026-06-18T11:30:00Z</dcterms:created>
  <dcterms:modified xsi:type="dcterms:W3CDTF">2026-06-18T11:30:00Z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0x010100CD48401E153899459179217FEE822214</vt:lpwstr>
  </property>
</Properties>
</file>