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4D81A" w14:textId="77777777" w:rsidR="00854A22" w:rsidRPr="00854A22" w:rsidRDefault="00854A22" w:rsidP="00854A22">
      <w:r w:rsidRPr="00854A22">
        <w:t xml:space="preserve">Here is a detailed summary of the paper titled </w:t>
      </w:r>
      <w:r w:rsidRPr="00854A22">
        <w:rPr>
          <w:i/>
          <w:iCs/>
        </w:rPr>
        <w:t>"Investigating Stochastic Differential Equations Modelling for Levodopa Infusion in Patients with Parkinson’s Disease"</w:t>
      </w:r>
      <w:r w:rsidRPr="00854A22">
        <w:t>:</w:t>
      </w:r>
    </w:p>
    <w:p w14:paraId="042355EF" w14:textId="77777777" w:rsidR="00854A22" w:rsidRPr="00854A22" w:rsidRDefault="00854A22" w:rsidP="00854A22">
      <w:pPr>
        <w:rPr>
          <w:b/>
          <w:bCs/>
        </w:rPr>
      </w:pPr>
      <w:r w:rsidRPr="00854A22">
        <w:rPr>
          <w:b/>
          <w:bCs/>
        </w:rPr>
        <w:t>Objective</w:t>
      </w:r>
    </w:p>
    <w:p w14:paraId="5AA4684C" w14:textId="77777777" w:rsidR="00854A22" w:rsidRPr="00854A22" w:rsidRDefault="00854A22" w:rsidP="00854A22">
      <w:r w:rsidRPr="00854A22">
        <w:t>The study investigates the application of stochastic differential equations (SDEs) to model plasma levodopa concentrations in patients with Parkinson’s disease (PD). It aims to determine whether introducing stochasticity in the pharmacokinetic model improves the prediction accuracy compared to the ordinary differential equations (ODE) approach.</w:t>
      </w:r>
    </w:p>
    <w:p w14:paraId="70420778" w14:textId="77777777" w:rsidR="00854A22" w:rsidRPr="00854A22" w:rsidRDefault="00854A22" w:rsidP="00854A22">
      <w:pPr>
        <w:rPr>
          <w:lang w:val="it-IT"/>
        </w:rPr>
      </w:pPr>
      <w:r w:rsidRPr="00854A22">
        <w:rPr>
          <w:lang w:val="it-IT"/>
        </w:rPr>
        <w:pict w14:anchorId="1FA2716A">
          <v:rect id="_x0000_i1055" style="width:0;height:1.5pt" o:hralign="center" o:hrstd="t" o:hr="t" fillcolor="#a0a0a0" stroked="f"/>
        </w:pict>
      </w:r>
    </w:p>
    <w:p w14:paraId="30257AF5" w14:textId="77777777" w:rsidR="00854A22" w:rsidRPr="00854A22" w:rsidRDefault="00854A22" w:rsidP="00854A22">
      <w:pPr>
        <w:rPr>
          <w:b/>
          <w:bCs/>
        </w:rPr>
      </w:pPr>
      <w:r w:rsidRPr="00854A22">
        <w:rPr>
          <w:b/>
          <w:bCs/>
        </w:rPr>
        <w:t>Background</w:t>
      </w:r>
    </w:p>
    <w:p w14:paraId="28EAE64B" w14:textId="77777777" w:rsidR="00854A22" w:rsidRPr="00854A22" w:rsidRDefault="00854A22" w:rsidP="00854A22">
      <w:pPr>
        <w:rPr>
          <w:lang w:val="it-IT"/>
        </w:rPr>
      </w:pPr>
      <w:r w:rsidRPr="00854A22">
        <w:t xml:space="preserve">Levodopa is the gold standard for treating Parkinson's disease, and its administration often requires precise modeling of plasma concentrations to optimize dosing. </w:t>
      </w:r>
      <w:r w:rsidRPr="00854A22">
        <w:rPr>
          <w:lang w:val="it-IT"/>
        </w:rPr>
        <w:t>Traditional models using ODEs assume uncorrelated residual errors and may fail to account for intra-individual variability and auto-correlated errors. By introducing SDEs, which separate system noise (dynamic variability) from measurement noise, the authors aim to address these limitations.</w:t>
      </w:r>
    </w:p>
    <w:p w14:paraId="56918431" w14:textId="77777777" w:rsidR="00854A22" w:rsidRPr="00854A22" w:rsidRDefault="00854A22" w:rsidP="00854A22">
      <w:pPr>
        <w:rPr>
          <w:lang w:val="it-IT"/>
        </w:rPr>
      </w:pPr>
      <w:r w:rsidRPr="00854A22">
        <w:rPr>
          <w:lang w:val="it-IT"/>
        </w:rPr>
        <w:pict w14:anchorId="35E5BCE9">
          <v:rect id="_x0000_i1056" style="width:0;height:1.5pt" o:hralign="center" o:hrstd="t" o:hr="t" fillcolor="#a0a0a0" stroked="f"/>
        </w:pict>
      </w:r>
    </w:p>
    <w:p w14:paraId="27892771" w14:textId="77777777" w:rsidR="00854A22" w:rsidRPr="00854A22" w:rsidRDefault="00854A22" w:rsidP="00854A22">
      <w:pPr>
        <w:rPr>
          <w:b/>
          <w:bCs/>
          <w:lang w:val="it-IT"/>
        </w:rPr>
      </w:pPr>
      <w:r w:rsidRPr="00854A22">
        <w:rPr>
          <w:b/>
          <w:bCs/>
          <w:lang w:val="it-IT"/>
        </w:rPr>
        <w:t>Methods</w:t>
      </w:r>
    </w:p>
    <w:p w14:paraId="53BAD325" w14:textId="77777777" w:rsidR="00854A22" w:rsidRPr="00854A22" w:rsidRDefault="00854A22" w:rsidP="00854A22">
      <w:pPr>
        <w:numPr>
          <w:ilvl w:val="0"/>
          <w:numId w:val="1"/>
        </w:numPr>
        <w:rPr>
          <w:lang w:val="it-IT"/>
        </w:rPr>
      </w:pPr>
      <w:r w:rsidRPr="00854A22">
        <w:rPr>
          <w:b/>
          <w:bCs/>
          <w:lang w:val="it-IT"/>
        </w:rPr>
        <w:t>Data and Study Design:</w:t>
      </w:r>
    </w:p>
    <w:p w14:paraId="41431C04" w14:textId="77777777" w:rsidR="00854A22" w:rsidRPr="00854A22" w:rsidRDefault="00854A22" w:rsidP="00854A22">
      <w:pPr>
        <w:numPr>
          <w:ilvl w:val="1"/>
          <w:numId w:val="1"/>
        </w:numPr>
        <w:rPr>
          <w:lang w:val="it-IT"/>
        </w:rPr>
      </w:pPr>
      <w:r w:rsidRPr="00854A22">
        <w:rPr>
          <w:lang w:val="it-IT"/>
        </w:rPr>
        <w:t>Data were collected from two prior studies involving PD patients receiving duodenal levodopa/carbidopa gel (LCIG) infusions.</w:t>
      </w:r>
    </w:p>
    <w:p w14:paraId="46969CAB" w14:textId="77777777" w:rsidR="00854A22" w:rsidRPr="00854A22" w:rsidRDefault="00854A22" w:rsidP="00854A22">
      <w:pPr>
        <w:numPr>
          <w:ilvl w:val="1"/>
          <w:numId w:val="1"/>
        </w:numPr>
        <w:rPr>
          <w:lang w:val="it-IT"/>
        </w:rPr>
      </w:pPr>
      <w:r w:rsidRPr="00854A22">
        <w:rPr>
          <w:lang w:val="it-IT"/>
        </w:rPr>
        <w:t>Study 1 included three patients with stable LCIG concentrations.</w:t>
      </w:r>
    </w:p>
    <w:p w14:paraId="1B053672" w14:textId="77777777" w:rsidR="00854A22" w:rsidRPr="00854A22" w:rsidRDefault="00854A22" w:rsidP="00854A22">
      <w:pPr>
        <w:numPr>
          <w:ilvl w:val="1"/>
          <w:numId w:val="1"/>
        </w:numPr>
        <w:rPr>
          <w:lang w:val="it-IT"/>
        </w:rPr>
      </w:pPr>
      <w:r w:rsidRPr="00854A22">
        <w:rPr>
          <w:lang w:val="it-IT"/>
        </w:rPr>
        <w:t>Study 2 involved five patients receiving varying infusion rates over 2.5 days.</w:t>
      </w:r>
    </w:p>
    <w:p w14:paraId="32068397" w14:textId="77777777" w:rsidR="00854A22" w:rsidRPr="00854A22" w:rsidRDefault="00854A22" w:rsidP="00854A22">
      <w:pPr>
        <w:numPr>
          <w:ilvl w:val="0"/>
          <w:numId w:val="1"/>
        </w:numPr>
        <w:rPr>
          <w:lang w:val="it-IT"/>
        </w:rPr>
      </w:pPr>
      <w:r w:rsidRPr="00854A22">
        <w:rPr>
          <w:b/>
          <w:bCs/>
          <w:lang w:val="it-IT"/>
        </w:rPr>
        <w:t>Modeling Approaches:</w:t>
      </w:r>
    </w:p>
    <w:p w14:paraId="3EF2F8F8" w14:textId="77777777" w:rsidR="00854A22" w:rsidRPr="00854A22" w:rsidRDefault="00854A22" w:rsidP="00854A22">
      <w:pPr>
        <w:numPr>
          <w:ilvl w:val="1"/>
          <w:numId w:val="1"/>
        </w:numPr>
        <w:rPr>
          <w:lang w:val="it-IT"/>
        </w:rPr>
      </w:pPr>
      <w:r w:rsidRPr="00854A22">
        <w:rPr>
          <w:lang w:val="it-IT"/>
        </w:rPr>
        <w:t>A two-compartment pharmacokinetic model by Westin et al. was extended to include a stochastic component.</w:t>
      </w:r>
    </w:p>
    <w:p w14:paraId="0A461604" w14:textId="77777777" w:rsidR="00854A22" w:rsidRPr="00854A22" w:rsidRDefault="00854A22" w:rsidP="00854A22">
      <w:pPr>
        <w:numPr>
          <w:ilvl w:val="1"/>
          <w:numId w:val="1"/>
        </w:numPr>
        <w:rPr>
          <w:lang w:val="it-IT"/>
        </w:rPr>
      </w:pPr>
      <w:r w:rsidRPr="00854A22">
        <w:rPr>
          <w:lang w:val="it-IT"/>
        </w:rPr>
        <w:t>System noise was introduced in the model via a Wiener process, allowing variability beyond measurement noise.</w:t>
      </w:r>
    </w:p>
    <w:p w14:paraId="3DC75BB7" w14:textId="77777777" w:rsidR="00854A22" w:rsidRPr="00854A22" w:rsidRDefault="00854A22" w:rsidP="00854A22">
      <w:pPr>
        <w:numPr>
          <w:ilvl w:val="0"/>
          <w:numId w:val="1"/>
        </w:numPr>
        <w:rPr>
          <w:lang w:val="it-IT"/>
        </w:rPr>
      </w:pPr>
      <w:r w:rsidRPr="00854A22">
        <w:rPr>
          <w:b/>
          <w:bCs/>
          <w:lang w:val="it-IT"/>
        </w:rPr>
        <w:t>Parameter Estimation:</w:t>
      </w:r>
    </w:p>
    <w:p w14:paraId="2416412A" w14:textId="77777777" w:rsidR="00854A22" w:rsidRPr="00854A22" w:rsidRDefault="00854A22" w:rsidP="00854A22">
      <w:pPr>
        <w:numPr>
          <w:ilvl w:val="1"/>
          <w:numId w:val="1"/>
        </w:numPr>
        <w:rPr>
          <w:lang w:val="it-IT"/>
        </w:rPr>
      </w:pPr>
      <w:r w:rsidRPr="00854A22">
        <w:rPr>
          <w:lang w:val="it-IT"/>
        </w:rPr>
        <w:t xml:space="preserve">Bioavailability, system noise, and measurement noise were estimated using the R package </w:t>
      </w:r>
      <w:r w:rsidRPr="00854A22">
        <w:rPr>
          <w:b/>
          <w:bCs/>
          <w:lang w:val="it-IT"/>
        </w:rPr>
        <w:t>PSM (Population Stochastic Modelling)</w:t>
      </w:r>
      <w:r w:rsidRPr="00854A22">
        <w:rPr>
          <w:lang w:val="it-IT"/>
        </w:rPr>
        <w:t>.</w:t>
      </w:r>
    </w:p>
    <w:p w14:paraId="04CEBF41" w14:textId="77777777" w:rsidR="00854A22" w:rsidRPr="00854A22" w:rsidRDefault="00854A22" w:rsidP="00854A22">
      <w:pPr>
        <w:numPr>
          <w:ilvl w:val="1"/>
          <w:numId w:val="1"/>
        </w:numPr>
        <w:rPr>
          <w:lang w:val="it-IT"/>
        </w:rPr>
      </w:pPr>
      <w:r w:rsidRPr="00854A22">
        <w:rPr>
          <w:lang w:val="it-IT"/>
        </w:rPr>
        <w:t>Cross-validation was performed to compare the root mean square error (RMSE) between ODE and SDE models for different stochasticity levels (denoted by the diffusion scale parameter σw).</w:t>
      </w:r>
    </w:p>
    <w:p w14:paraId="0A8BCFAC" w14:textId="77777777" w:rsidR="00854A22" w:rsidRPr="00854A22" w:rsidRDefault="00854A22" w:rsidP="00854A22">
      <w:pPr>
        <w:rPr>
          <w:lang w:val="it-IT"/>
        </w:rPr>
      </w:pPr>
      <w:r w:rsidRPr="00854A22">
        <w:rPr>
          <w:lang w:val="it-IT"/>
        </w:rPr>
        <w:pict w14:anchorId="498D0279">
          <v:rect id="_x0000_i1057" style="width:0;height:1.5pt" o:hralign="center" o:hrstd="t" o:hr="t" fillcolor="#a0a0a0" stroked="f"/>
        </w:pict>
      </w:r>
    </w:p>
    <w:p w14:paraId="30AAAFA9" w14:textId="77777777" w:rsidR="00854A22" w:rsidRPr="00854A22" w:rsidRDefault="00854A22" w:rsidP="00854A22">
      <w:pPr>
        <w:rPr>
          <w:b/>
          <w:bCs/>
          <w:lang w:val="it-IT"/>
        </w:rPr>
      </w:pPr>
      <w:r w:rsidRPr="00854A22">
        <w:rPr>
          <w:b/>
          <w:bCs/>
          <w:lang w:val="it-IT"/>
        </w:rPr>
        <w:t>Results</w:t>
      </w:r>
    </w:p>
    <w:p w14:paraId="1F21A663" w14:textId="77777777" w:rsidR="00854A22" w:rsidRPr="00854A22" w:rsidRDefault="00854A22" w:rsidP="00854A22">
      <w:pPr>
        <w:numPr>
          <w:ilvl w:val="0"/>
          <w:numId w:val="2"/>
        </w:numPr>
        <w:rPr>
          <w:lang w:val="it-IT"/>
        </w:rPr>
      </w:pPr>
      <w:r w:rsidRPr="00854A22">
        <w:rPr>
          <w:b/>
          <w:bCs/>
          <w:lang w:val="it-IT"/>
        </w:rPr>
        <w:t>Parameter Estimates:</w:t>
      </w:r>
    </w:p>
    <w:p w14:paraId="68F8DC15" w14:textId="77777777" w:rsidR="00854A22" w:rsidRPr="00854A22" w:rsidRDefault="00854A22" w:rsidP="00854A22">
      <w:pPr>
        <w:numPr>
          <w:ilvl w:val="1"/>
          <w:numId w:val="2"/>
        </w:numPr>
        <w:rPr>
          <w:lang w:val="it-IT"/>
        </w:rPr>
      </w:pPr>
      <w:r w:rsidRPr="00854A22">
        <w:rPr>
          <w:lang w:val="it-IT"/>
        </w:rPr>
        <w:t>Bioavailability was approximately 75% for both ODE and SDE models.</w:t>
      </w:r>
    </w:p>
    <w:p w14:paraId="2E2013B5" w14:textId="77777777" w:rsidR="00854A22" w:rsidRPr="00854A22" w:rsidRDefault="00854A22" w:rsidP="00854A22">
      <w:pPr>
        <w:numPr>
          <w:ilvl w:val="1"/>
          <w:numId w:val="2"/>
        </w:numPr>
        <w:rPr>
          <w:lang w:val="it-IT"/>
        </w:rPr>
      </w:pPr>
      <w:r w:rsidRPr="00854A22">
        <w:rPr>
          <w:lang w:val="it-IT"/>
        </w:rPr>
        <w:lastRenderedPageBreak/>
        <w:t>The diffusion scale parameter (σw) was significantly different from zero, indicating the relevance of stochastic noise in the model.</w:t>
      </w:r>
    </w:p>
    <w:p w14:paraId="1FA0C6D2" w14:textId="77777777" w:rsidR="00854A22" w:rsidRPr="00854A22" w:rsidRDefault="00854A22" w:rsidP="00854A22">
      <w:pPr>
        <w:numPr>
          <w:ilvl w:val="0"/>
          <w:numId w:val="2"/>
        </w:numPr>
        <w:rPr>
          <w:lang w:val="it-IT"/>
        </w:rPr>
      </w:pPr>
      <w:r w:rsidRPr="00854A22">
        <w:rPr>
          <w:b/>
          <w:bCs/>
          <w:lang w:val="it-IT"/>
        </w:rPr>
        <w:t>Model Comparison:</w:t>
      </w:r>
    </w:p>
    <w:p w14:paraId="75F82560" w14:textId="77777777" w:rsidR="00854A22" w:rsidRPr="00854A22" w:rsidRDefault="00854A22" w:rsidP="00854A22">
      <w:pPr>
        <w:numPr>
          <w:ilvl w:val="1"/>
          <w:numId w:val="2"/>
        </w:numPr>
        <w:rPr>
          <w:lang w:val="it-IT"/>
        </w:rPr>
      </w:pPr>
      <w:r w:rsidRPr="00854A22">
        <w:rPr>
          <w:lang w:val="it-IT"/>
        </w:rPr>
        <w:t>The average RMSE for the ODE model was 0.313, while the SDE model achieved the lowest RMSE (0.297) at σw = 0.9.</w:t>
      </w:r>
    </w:p>
    <w:p w14:paraId="4BBED1D4" w14:textId="77777777" w:rsidR="00854A22" w:rsidRPr="00854A22" w:rsidRDefault="00854A22" w:rsidP="00854A22">
      <w:pPr>
        <w:numPr>
          <w:ilvl w:val="1"/>
          <w:numId w:val="2"/>
        </w:numPr>
        <w:rPr>
          <w:lang w:val="it-IT"/>
        </w:rPr>
      </w:pPr>
      <w:r w:rsidRPr="00854A22">
        <w:rPr>
          <w:lang w:val="it-IT"/>
        </w:rPr>
        <w:t>Cross-validation demonstrated that SDEs provided a 5.5% improvement in prediction accuracy over ODEs.</w:t>
      </w:r>
    </w:p>
    <w:p w14:paraId="728498E4" w14:textId="77777777" w:rsidR="00854A22" w:rsidRPr="00854A22" w:rsidRDefault="00854A22" w:rsidP="00854A22">
      <w:pPr>
        <w:numPr>
          <w:ilvl w:val="0"/>
          <w:numId w:val="2"/>
        </w:numPr>
        <w:rPr>
          <w:lang w:val="it-IT"/>
        </w:rPr>
      </w:pPr>
      <w:r w:rsidRPr="00854A22">
        <w:rPr>
          <w:b/>
          <w:bCs/>
          <w:lang w:val="it-IT"/>
        </w:rPr>
        <w:t>Residual Analysis:</w:t>
      </w:r>
    </w:p>
    <w:p w14:paraId="63EA4BBA" w14:textId="77777777" w:rsidR="00854A22" w:rsidRPr="00854A22" w:rsidRDefault="00854A22" w:rsidP="00854A22">
      <w:pPr>
        <w:numPr>
          <w:ilvl w:val="1"/>
          <w:numId w:val="2"/>
        </w:numPr>
        <w:rPr>
          <w:lang w:val="it-IT"/>
        </w:rPr>
      </w:pPr>
      <w:r w:rsidRPr="00854A22">
        <w:rPr>
          <w:lang w:val="it-IT"/>
        </w:rPr>
        <w:t>Residuals from the ODE model showed significant correlation, which was addressed by the SDE model.</w:t>
      </w:r>
    </w:p>
    <w:p w14:paraId="2E6803CD" w14:textId="77777777" w:rsidR="00854A22" w:rsidRPr="00854A22" w:rsidRDefault="00854A22" w:rsidP="00854A22">
      <w:pPr>
        <w:rPr>
          <w:lang w:val="it-IT"/>
        </w:rPr>
      </w:pPr>
      <w:r w:rsidRPr="00854A22">
        <w:rPr>
          <w:lang w:val="it-IT"/>
        </w:rPr>
        <w:pict w14:anchorId="41A4AEE7">
          <v:rect id="_x0000_i1058" style="width:0;height:1.5pt" o:hralign="center" o:hrstd="t" o:hr="t" fillcolor="#a0a0a0" stroked="f"/>
        </w:pict>
      </w:r>
    </w:p>
    <w:p w14:paraId="67669228" w14:textId="77777777" w:rsidR="00854A22" w:rsidRPr="00854A22" w:rsidRDefault="00854A22" w:rsidP="00854A22">
      <w:pPr>
        <w:rPr>
          <w:b/>
          <w:bCs/>
          <w:lang w:val="it-IT"/>
        </w:rPr>
      </w:pPr>
      <w:r w:rsidRPr="00854A22">
        <w:rPr>
          <w:b/>
          <w:bCs/>
          <w:lang w:val="it-IT"/>
        </w:rPr>
        <w:t>Conclusions</w:t>
      </w:r>
    </w:p>
    <w:p w14:paraId="6501FBB2" w14:textId="77777777" w:rsidR="00854A22" w:rsidRPr="00854A22" w:rsidRDefault="00854A22" w:rsidP="00854A22">
      <w:pPr>
        <w:numPr>
          <w:ilvl w:val="0"/>
          <w:numId w:val="3"/>
        </w:numPr>
        <w:rPr>
          <w:lang w:val="it-IT"/>
        </w:rPr>
      </w:pPr>
      <w:r w:rsidRPr="00854A22">
        <w:rPr>
          <w:b/>
          <w:bCs/>
          <w:lang w:val="it-IT"/>
        </w:rPr>
        <w:t>Significance:</w:t>
      </w:r>
      <w:r w:rsidRPr="00854A22">
        <w:rPr>
          <w:lang w:val="it-IT"/>
        </w:rPr>
        <w:t xml:space="preserve"> The SDE model better accounts for auto-correlated errors and intra-individual variability, offering more accurate predictions of plasma levodopa concentrations.</w:t>
      </w:r>
    </w:p>
    <w:p w14:paraId="1821BC79" w14:textId="77777777" w:rsidR="00854A22" w:rsidRPr="00854A22" w:rsidRDefault="00854A22" w:rsidP="00854A22">
      <w:pPr>
        <w:numPr>
          <w:ilvl w:val="0"/>
          <w:numId w:val="3"/>
        </w:numPr>
        <w:rPr>
          <w:lang w:val="it-IT"/>
        </w:rPr>
      </w:pPr>
      <w:r w:rsidRPr="00854A22">
        <w:rPr>
          <w:b/>
          <w:bCs/>
          <w:lang w:val="it-IT"/>
        </w:rPr>
        <w:t>Practical Implication:</w:t>
      </w:r>
      <w:r w:rsidRPr="00854A22">
        <w:rPr>
          <w:lang w:val="it-IT"/>
        </w:rPr>
        <w:t xml:space="preserve"> While the improvement in prediction accuracy (5.5%) may seem modest, the approach highlights the potential for SDEs in pharmacokinetic modeling, especially for dynamic systems like LCIG administration.</w:t>
      </w:r>
    </w:p>
    <w:p w14:paraId="61483B82" w14:textId="77777777" w:rsidR="00854A22" w:rsidRPr="00854A22" w:rsidRDefault="00854A22" w:rsidP="00854A22">
      <w:pPr>
        <w:numPr>
          <w:ilvl w:val="0"/>
          <w:numId w:val="3"/>
        </w:numPr>
        <w:rPr>
          <w:lang w:val="it-IT"/>
        </w:rPr>
      </w:pPr>
      <w:r w:rsidRPr="00854A22">
        <w:rPr>
          <w:b/>
          <w:bCs/>
          <w:lang w:val="it-IT"/>
        </w:rPr>
        <w:t>Future Directions:</w:t>
      </w:r>
      <w:r w:rsidRPr="00854A22">
        <w:rPr>
          <w:lang w:val="it-IT"/>
        </w:rPr>
        <w:t xml:space="preserve"> The authors suggest extending the SDE framework to include pharmacodynamic modeling and testing it on datasets with higher variability, such as oral dosing regimens.</w:t>
      </w:r>
    </w:p>
    <w:p w14:paraId="2B1FC3FE" w14:textId="77777777" w:rsidR="00854A22" w:rsidRPr="00854A22" w:rsidRDefault="00854A22" w:rsidP="00854A22">
      <w:pPr>
        <w:rPr>
          <w:lang w:val="it-IT"/>
        </w:rPr>
      </w:pPr>
      <w:r w:rsidRPr="00854A22">
        <w:rPr>
          <w:lang w:val="it-IT"/>
        </w:rPr>
        <w:pict w14:anchorId="65D6B0AD">
          <v:rect id="_x0000_i1059" style="width:0;height:1.5pt" o:hralign="center" o:hrstd="t" o:hr="t" fillcolor="#a0a0a0" stroked="f"/>
        </w:pict>
      </w:r>
    </w:p>
    <w:p w14:paraId="7CAEB1F9" w14:textId="77777777" w:rsidR="00854A22" w:rsidRPr="00854A22" w:rsidRDefault="00854A22" w:rsidP="00854A22">
      <w:pPr>
        <w:rPr>
          <w:b/>
          <w:bCs/>
          <w:lang w:val="it-IT"/>
        </w:rPr>
      </w:pPr>
      <w:r w:rsidRPr="00854A22">
        <w:rPr>
          <w:b/>
          <w:bCs/>
          <w:lang w:val="it-IT"/>
        </w:rPr>
        <w:t>Limitations</w:t>
      </w:r>
    </w:p>
    <w:p w14:paraId="54EEA154" w14:textId="77777777" w:rsidR="00854A22" w:rsidRPr="00854A22" w:rsidRDefault="00854A22" w:rsidP="00854A22">
      <w:pPr>
        <w:numPr>
          <w:ilvl w:val="0"/>
          <w:numId w:val="4"/>
        </w:numPr>
        <w:rPr>
          <w:lang w:val="it-IT"/>
        </w:rPr>
      </w:pPr>
      <w:r w:rsidRPr="00854A22">
        <w:rPr>
          <w:lang w:val="it-IT"/>
        </w:rPr>
        <w:t>Most parameters were fixed to reduce computation time, potentially limiting the model's adaptability.</w:t>
      </w:r>
    </w:p>
    <w:p w14:paraId="61B007BA" w14:textId="77777777" w:rsidR="00854A22" w:rsidRPr="00854A22" w:rsidRDefault="00854A22" w:rsidP="00854A22">
      <w:pPr>
        <w:numPr>
          <w:ilvl w:val="0"/>
          <w:numId w:val="4"/>
        </w:numPr>
        <w:rPr>
          <w:lang w:val="it-IT"/>
        </w:rPr>
      </w:pPr>
      <w:r w:rsidRPr="00854A22">
        <w:rPr>
          <w:lang w:val="it-IT"/>
        </w:rPr>
        <w:t>The dataset was small, comprising only eight patients, which might affect the robustness of parameter estimates.</w:t>
      </w:r>
    </w:p>
    <w:p w14:paraId="2BA7DADB" w14:textId="77777777" w:rsidR="00DE11CF" w:rsidRDefault="00DE11CF"/>
    <w:sectPr w:rsidR="00DE11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97453"/>
    <w:multiLevelType w:val="multilevel"/>
    <w:tmpl w:val="C232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84171"/>
    <w:multiLevelType w:val="multilevel"/>
    <w:tmpl w:val="A50EB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87839"/>
    <w:multiLevelType w:val="multilevel"/>
    <w:tmpl w:val="EF3C5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B1E4B"/>
    <w:multiLevelType w:val="multilevel"/>
    <w:tmpl w:val="922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702100">
    <w:abstractNumId w:val="2"/>
  </w:num>
  <w:num w:numId="2" w16cid:durableId="566765993">
    <w:abstractNumId w:val="1"/>
  </w:num>
  <w:num w:numId="3" w16cid:durableId="878400007">
    <w:abstractNumId w:val="3"/>
  </w:num>
  <w:num w:numId="4" w16cid:durableId="2833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D2"/>
    <w:rsid w:val="00132C79"/>
    <w:rsid w:val="008215D2"/>
    <w:rsid w:val="00854A22"/>
    <w:rsid w:val="00CE12FE"/>
    <w:rsid w:val="00DE11CF"/>
    <w:rsid w:val="00F712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0EBBC-C9B5-47F4-9974-B04029BF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21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21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215D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215D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215D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215D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215D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215D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215D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15D2"/>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8215D2"/>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8215D2"/>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8215D2"/>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8215D2"/>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8215D2"/>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8215D2"/>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8215D2"/>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8215D2"/>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821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215D2"/>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8215D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215D2"/>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8215D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215D2"/>
    <w:rPr>
      <w:i/>
      <w:iCs/>
      <w:color w:val="404040" w:themeColor="text1" w:themeTint="BF"/>
      <w:lang w:val="en-GB"/>
    </w:rPr>
  </w:style>
  <w:style w:type="paragraph" w:styleId="Paragrafoelenco">
    <w:name w:val="List Paragraph"/>
    <w:basedOn w:val="Normale"/>
    <w:uiPriority w:val="34"/>
    <w:qFormat/>
    <w:rsid w:val="008215D2"/>
    <w:pPr>
      <w:ind w:left="720"/>
      <w:contextualSpacing/>
    </w:pPr>
  </w:style>
  <w:style w:type="character" w:styleId="Enfasiintensa">
    <w:name w:val="Intense Emphasis"/>
    <w:basedOn w:val="Carpredefinitoparagrafo"/>
    <w:uiPriority w:val="21"/>
    <w:qFormat/>
    <w:rsid w:val="008215D2"/>
    <w:rPr>
      <w:i/>
      <w:iCs/>
      <w:color w:val="0F4761" w:themeColor="accent1" w:themeShade="BF"/>
    </w:rPr>
  </w:style>
  <w:style w:type="paragraph" w:styleId="Citazioneintensa">
    <w:name w:val="Intense Quote"/>
    <w:basedOn w:val="Normale"/>
    <w:next w:val="Normale"/>
    <w:link w:val="CitazioneintensaCarattere"/>
    <w:uiPriority w:val="30"/>
    <w:qFormat/>
    <w:rsid w:val="00821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215D2"/>
    <w:rPr>
      <w:i/>
      <w:iCs/>
      <w:color w:val="0F4761" w:themeColor="accent1" w:themeShade="BF"/>
      <w:lang w:val="en-GB"/>
    </w:rPr>
  </w:style>
  <w:style w:type="character" w:styleId="Riferimentointenso">
    <w:name w:val="Intense Reference"/>
    <w:basedOn w:val="Carpredefinitoparagrafo"/>
    <w:uiPriority w:val="32"/>
    <w:qFormat/>
    <w:rsid w:val="00821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27137">
      <w:bodyDiv w:val="1"/>
      <w:marLeft w:val="0"/>
      <w:marRight w:val="0"/>
      <w:marTop w:val="0"/>
      <w:marBottom w:val="0"/>
      <w:divBdr>
        <w:top w:val="none" w:sz="0" w:space="0" w:color="auto"/>
        <w:left w:val="none" w:sz="0" w:space="0" w:color="auto"/>
        <w:bottom w:val="none" w:sz="0" w:space="0" w:color="auto"/>
        <w:right w:val="none" w:sz="0" w:space="0" w:color="auto"/>
      </w:divBdr>
    </w:div>
    <w:div w:id="19919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policano</dc:creator>
  <cp:keywords/>
  <dc:description/>
  <cp:lastModifiedBy>luca policano</cp:lastModifiedBy>
  <cp:revision>2</cp:revision>
  <dcterms:created xsi:type="dcterms:W3CDTF">2025-01-23T17:45:00Z</dcterms:created>
  <dcterms:modified xsi:type="dcterms:W3CDTF">2025-01-23T17:46:00Z</dcterms:modified>
</cp:coreProperties>
</file>