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84525" w14:textId="77777777" w:rsidR="008A2462" w:rsidRPr="008A2462" w:rsidRDefault="008A2462" w:rsidP="008A2462">
      <w:pPr>
        <w:rPr>
          <w:lang w:val="it-IT"/>
        </w:rPr>
      </w:pPr>
      <w:r w:rsidRPr="008A2462">
        <w:rPr>
          <w:lang w:val="it-IT"/>
        </w:rPr>
        <w:t xml:space="preserve">Here’s a detailed summary of the paper </w:t>
      </w:r>
      <w:r w:rsidRPr="008A2462">
        <w:rPr>
          <w:b/>
          <w:bCs/>
          <w:lang w:val="it-IT"/>
        </w:rPr>
        <w:t>"Mathematical modeling of interaction between innate and adaptive immune responses in COVID</w:t>
      </w:r>
      <w:r w:rsidRPr="008A2462">
        <w:rPr>
          <w:rFonts w:ascii="Cambria Math" w:hAnsi="Cambria Math" w:cs="Cambria Math"/>
          <w:b/>
          <w:bCs/>
          <w:lang w:val="it-IT"/>
        </w:rPr>
        <w:t>‐</w:t>
      </w:r>
      <w:r w:rsidRPr="008A2462">
        <w:rPr>
          <w:b/>
          <w:bCs/>
          <w:lang w:val="it-IT"/>
        </w:rPr>
        <w:t>19 and implications for viral pathogenesis"</w:t>
      </w:r>
      <w:r w:rsidRPr="008A2462">
        <w:rPr>
          <w:lang w:val="it-IT"/>
        </w:rPr>
        <w:t>:</w:t>
      </w:r>
    </w:p>
    <w:p w14:paraId="75719B24" w14:textId="77777777" w:rsidR="008A2462" w:rsidRPr="008A2462" w:rsidRDefault="008A2462" w:rsidP="008A2462">
      <w:pPr>
        <w:rPr>
          <w:lang w:val="it-IT"/>
        </w:rPr>
      </w:pPr>
      <w:r w:rsidRPr="008A2462">
        <w:rPr>
          <w:lang w:val="it-IT"/>
        </w:rPr>
        <w:pict w14:anchorId="4DB948CD">
          <v:rect id="_x0000_i1043" style="width:0;height:1.5pt" o:hralign="center" o:hrstd="t" o:hr="t" fillcolor="#a0a0a0" stroked="f"/>
        </w:pict>
      </w:r>
    </w:p>
    <w:p w14:paraId="2259BA47" w14:textId="77777777" w:rsidR="008A2462" w:rsidRPr="008A2462" w:rsidRDefault="008A2462" w:rsidP="008A2462">
      <w:pPr>
        <w:rPr>
          <w:b/>
          <w:bCs/>
          <w:lang w:val="it-IT"/>
        </w:rPr>
      </w:pPr>
      <w:r w:rsidRPr="008A2462">
        <w:rPr>
          <w:b/>
          <w:bCs/>
          <w:lang w:val="it-IT"/>
        </w:rPr>
        <w:t>Overview:</w:t>
      </w:r>
    </w:p>
    <w:p w14:paraId="674BF58E" w14:textId="77777777" w:rsidR="008A2462" w:rsidRPr="008A2462" w:rsidRDefault="008A2462" w:rsidP="008A2462">
      <w:pPr>
        <w:rPr>
          <w:lang w:val="it-IT"/>
        </w:rPr>
      </w:pPr>
      <w:r w:rsidRPr="008A2462">
        <w:rPr>
          <w:lang w:val="it-IT"/>
        </w:rPr>
        <w:t>The paper applies mathematical modeling to study the interaction between innate and adaptive immune responses in COVID-19. It explores differences in immune response dynamics compared to influenza, identifying potential reasons for the higher severity and mortality of COVID-19. The authors also propose strategies for managing the disease using immunomodulation and antiviral drugs.</w:t>
      </w:r>
    </w:p>
    <w:p w14:paraId="68183887" w14:textId="77777777" w:rsidR="008A2462" w:rsidRPr="008A2462" w:rsidRDefault="008A2462" w:rsidP="008A2462">
      <w:pPr>
        <w:rPr>
          <w:lang w:val="it-IT"/>
        </w:rPr>
      </w:pPr>
      <w:r w:rsidRPr="008A2462">
        <w:rPr>
          <w:lang w:val="it-IT"/>
        </w:rPr>
        <w:pict w14:anchorId="582AACF9">
          <v:rect id="_x0000_i1044" style="width:0;height:1.5pt" o:hralign="center" o:hrstd="t" o:hr="t" fillcolor="#a0a0a0" stroked="f"/>
        </w:pict>
      </w:r>
    </w:p>
    <w:p w14:paraId="043D7B1F" w14:textId="77777777" w:rsidR="008A2462" w:rsidRPr="008A2462" w:rsidRDefault="008A2462" w:rsidP="008A2462">
      <w:pPr>
        <w:rPr>
          <w:b/>
          <w:bCs/>
          <w:lang w:val="it-IT"/>
        </w:rPr>
      </w:pPr>
      <w:r w:rsidRPr="008A2462">
        <w:rPr>
          <w:b/>
          <w:bCs/>
          <w:lang w:val="it-IT"/>
        </w:rPr>
        <w:t>Key Findings:</w:t>
      </w:r>
    </w:p>
    <w:p w14:paraId="45A91334" w14:textId="77777777" w:rsidR="008A2462" w:rsidRPr="008A2462" w:rsidRDefault="008A2462" w:rsidP="008A2462">
      <w:pPr>
        <w:numPr>
          <w:ilvl w:val="0"/>
          <w:numId w:val="1"/>
        </w:numPr>
        <w:rPr>
          <w:lang w:val="it-IT"/>
        </w:rPr>
      </w:pPr>
      <w:r w:rsidRPr="008A2462">
        <w:rPr>
          <w:b/>
          <w:bCs/>
          <w:lang w:val="it-IT"/>
        </w:rPr>
        <w:t>Pathogenesis Dynamics:</w:t>
      </w:r>
    </w:p>
    <w:p w14:paraId="02527B8D" w14:textId="77777777" w:rsidR="008A2462" w:rsidRPr="008A2462" w:rsidRDefault="008A2462" w:rsidP="008A2462">
      <w:pPr>
        <w:numPr>
          <w:ilvl w:val="1"/>
          <w:numId w:val="1"/>
        </w:numPr>
        <w:rPr>
          <w:lang w:val="it-IT"/>
        </w:rPr>
      </w:pPr>
      <w:r w:rsidRPr="008A2462">
        <w:rPr>
          <w:b/>
          <w:bCs/>
          <w:lang w:val="it-IT"/>
        </w:rPr>
        <w:t>Timing Mismatch</w:t>
      </w:r>
      <w:r w:rsidRPr="008A2462">
        <w:rPr>
          <w:lang w:val="it-IT"/>
        </w:rPr>
        <w:t>: In COVID-19, the adaptive immune response (AIR) often peaks before the viral load, whereas in influenza, it peaks after the viral load. This mismatch in COVID-19 leads to prolonged disease progression, incomplete depletion of epithelial target cells, and extended viral activity.</w:t>
      </w:r>
    </w:p>
    <w:p w14:paraId="315A728B" w14:textId="77777777" w:rsidR="008A2462" w:rsidRPr="008A2462" w:rsidRDefault="008A2462" w:rsidP="008A2462">
      <w:pPr>
        <w:numPr>
          <w:ilvl w:val="1"/>
          <w:numId w:val="1"/>
        </w:numPr>
        <w:rPr>
          <w:lang w:val="it-IT"/>
        </w:rPr>
      </w:pPr>
      <w:r w:rsidRPr="008A2462">
        <w:rPr>
          <w:b/>
          <w:bCs/>
          <w:lang w:val="it-IT"/>
        </w:rPr>
        <w:t>Innate vs. Adaptive Immunity</w:t>
      </w:r>
      <w:r w:rsidRPr="008A2462">
        <w:rPr>
          <w:lang w:val="it-IT"/>
        </w:rPr>
        <w:t>: The delayed and prolonged adaptive immunity in COVID-19 interferes with innate immune responses, reducing the efficiency of viral clearance and leading to more severe disease outcomes.</w:t>
      </w:r>
    </w:p>
    <w:p w14:paraId="75E8F950" w14:textId="77777777" w:rsidR="008A2462" w:rsidRPr="008A2462" w:rsidRDefault="008A2462" w:rsidP="008A2462">
      <w:pPr>
        <w:numPr>
          <w:ilvl w:val="0"/>
          <w:numId w:val="1"/>
        </w:numPr>
        <w:rPr>
          <w:lang w:val="it-IT"/>
        </w:rPr>
      </w:pPr>
      <w:r w:rsidRPr="008A2462">
        <w:rPr>
          <w:b/>
          <w:bCs/>
          <w:lang w:val="it-IT"/>
        </w:rPr>
        <w:t>Mathematical Model Insights:</w:t>
      </w:r>
    </w:p>
    <w:p w14:paraId="05B17976" w14:textId="77777777" w:rsidR="008A2462" w:rsidRPr="008A2462" w:rsidRDefault="008A2462" w:rsidP="008A2462">
      <w:pPr>
        <w:numPr>
          <w:ilvl w:val="1"/>
          <w:numId w:val="1"/>
        </w:numPr>
        <w:rPr>
          <w:lang w:val="it-IT"/>
        </w:rPr>
      </w:pPr>
      <w:r w:rsidRPr="008A2462">
        <w:rPr>
          <w:lang w:val="it-IT"/>
        </w:rPr>
        <w:t xml:space="preserve">The study used a </w:t>
      </w:r>
      <w:r w:rsidRPr="008A2462">
        <w:rPr>
          <w:b/>
          <w:bCs/>
          <w:lang w:val="it-IT"/>
        </w:rPr>
        <w:t>target-cell limited model</w:t>
      </w:r>
      <w:r w:rsidRPr="008A2462">
        <w:rPr>
          <w:lang w:val="it-IT"/>
        </w:rPr>
        <w:t>, considering uninfected epithelial cells (T), infected cells (I), and viral particles (V). Key parameters include infection rates, cell depletion rates, and viral replication dynamics.</w:t>
      </w:r>
    </w:p>
    <w:p w14:paraId="048D600A" w14:textId="77777777" w:rsidR="008A2462" w:rsidRPr="008A2462" w:rsidRDefault="008A2462" w:rsidP="008A2462">
      <w:pPr>
        <w:numPr>
          <w:ilvl w:val="1"/>
          <w:numId w:val="1"/>
        </w:numPr>
        <w:rPr>
          <w:lang w:val="it-IT"/>
        </w:rPr>
      </w:pPr>
      <w:r w:rsidRPr="008A2462">
        <w:rPr>
          <w:lang w:val="it-IT"/>
        </w:rPr>
        <w:t>The basic reproductive number (R₀) determines whether an infection grows (R₀ &gt; 1) or declines (R₀ &lt; 1). COVID-19 patients exhibit slower target cell depletion compared to influenza patients, which prolongs the infection.</w:t>
      </w:r>
    </w:p>
    <w:p w14:paraId="3EAA0DA4" w14:textId="77777777" w:rsidR="008A2462" w:rsidRPr="008A2462" w:rsidRDefault="008A2462" w:rsidP="008A2462">
      <w:pPr>
        <w:numPr>
          <w:ilvl w:val="1"/>
          <w:numId w:val="1"/>
        </w:numPr>
        <w:rPr>
          <w:lang w:val="it-IT"/>
        </w:rPr>
      </w:pPr>
      <w:r w:rsidRPr="008A2462">
        <w:rPr>
          <w:lang w:val="it-IT"/>
        </w:rPr>
        <w:t>Simulations reveal that early activation of AIR in COVID-19 can paradoxically worsen outcomes by preserving target cells for continued infection.</w:t>
      </w:r>
    </w:p>
    <w:p w14:paraId="1CDA1449" w14:textId="77777777" w:rsidR="008A2462" w:rsidRPr="008A2462" w:rsidRDefault="008A2462" w:rsidP="008A2462">
      <w:pPr>
        <w:numPr>
          <w:ilvl w:val="0"/>
          <w:numId w:val="1"/>
        </w:numPr>
        <w:rPr>
          <w:lang w:val="it-IT"/>
        </w:rPr>
      </w:pPr>
      <w:r w:rsidRPr="008A2462">
        <w:rPr>
          <w:b/>
          <w:bCs/>
          <w:lang w:val="it-IT"/>
        </w:rPr>
        <w:t>Proposed Treatment Strategies:</w:t>
      </w:r>
    </w:p>
    <w:p w14:paraId="754907D6" w14:textId="77777777" w:rsidR="008A2462" w:rsidRPr="008A2462" w:rsidRDefault="008A2462" w:rsidP="008A2462">
      <w:pPr>
        <w:numPr>
          <w:ilvl w:val="1"/>
          <w:numId w:val="1"/>
        </w:numPr>
        <w:rPr>
          <w:lang w:val="it-IT"/>
        </w:rPr>
      </w:pPr>
      <w:r w:rsidRPr="008A2462">
        <w:rPr>
          <w:b/>
          <w:bCs/>
          <w:lang w:val="it-IT"/>
        </w:rPr>
        <w:t>Delaying Adaptive Immunity</w:t>
      </w:r>
      <w:r w:rsidRPr="008A2462">
        <w:rPr>
          <w:lang w:val="it-IT"/>
        </w:rPr>
        <w:t>: Temporarily suppressing adaptive immunity during the early infection phase could allow innate immunity to clear the virus more effectively. Immunosuppressive drugs like corticosteroids might achieve this, but their timing and duration are critical to avoid long-term suppression of the immune system.</w:t>
      </w:r>
    </w:p>
    <w:p w14:paraId="0DBE9C59" w14:textId="77777777" w:rsidR="008A2462" w:rsidRPr="008A2462" w:rsidRDefault="008A2462" w:rsidP="008A2462">
      <w:pPr>
        <w:numPr>
          <w:ilvl w:val="1"/>
          <w:numId w:val="1"/>
        </w:numPr>
        <w:rPr>
          <w:lang w:val="it-IT"/>
        </w:rPr>
      </w:pPr>
      <w:r w:rsidRPr="008A2462">
        <w:rPr>
          <w:b/>
          <w:bCs/>
          <w:lang w:val="it-IT"/>
        </w:rPr>
        <w:t>Optimizing Antiviral Drug Use</w:t>
      </w:r>
      <w:r w:rsidRPr="008A2462">
        <w:rPr>
          <w:lang w:val="it-IT"/>
        </w:rPr>
        <w:t>: Effective antiviral drugs should reduce R₀ below 1. If administered too early or insufficiently, they might prolong the infection. Drugs should ideally be used after the peak viral load to accelerate clearance.</w:t>
      </w:r>
    </w:p>
    <w:p w14:paraId="6480C2B2" w14:textId="77777777" w:rsidR="008A2462" w:rsidRPr="008A2462" w:rsidRDefault="008A2462" w:rsidP="008A2462">
      <w:pPr>
        <w:numPr>
          <w:ilvl w:val="0"/>
          <w:numId w:val="1"/>
        </w:numPr>
        <w:rPr>
          <w:lang w:val="it-IT"/>
        </w:rPr>
      </w:pPr>
      <w:r w:rsidRPr="008A2462">
        <w:rPr>
          <w:b/>
          <w:bCs/>
          <w:lang w:val="it-IT"/>
        </w:rPr>
        <w:t>Clinical Observations Explained:</w:t>
      </w:r>
    </w:p>
    <w:p w14:paraId="3ABA01A1" w14:textId="77777777" w:rsidR="008A2462" w:rsidRPr="008A2462" w:rsidRDefault="008A2462" w:rsidP="008A2462">
      <w:pPr>
        <w:numPr>
          <w:ilvl w:val="1"/>
          <w:numId w:val="1"/>
        </w:numPr>
        <w:rPr>
          <w:lang w:val="it-IT"/>
        </w:rPr>
      </w:pPr>
      <w:r w:rsidRPr="008A2462">
        <w:rPr>
          <w:b/>
          <w:bCs/>
          <w:lang w:val="it-IT"/>
        </w:rPr>
        <w:t>Resurgence in “Cured” Patients</w:t>
      </w:r>
      <w:r w:rsidRPr="008A2462">
        <w:rPr>
          <w:lang w:val="it-IT"/>
        </w:rPr>
        <w:t>: Double peaks in viral load observed in some COVID-19 patients are attributed to strong interactions between innate and adaptive responses.</w:t>
      </w:r>
    </w:p>
    <w:p w14:paraId="0CDD4499" w14:textId="77777777" w:rsidR="008A2462" w:rsidRPr="008A2462" w:rsidRDefault="008A2462" w:rsidP="008A2462">
      <w:pPr>
        <w:numPr>
          <w:ilvl w:val="1"/>
          <w:numId w:val="1"/>
        </w:numPr>
        <w:rPr>
          <w:lang w:val="it-IT"/>
        </w:rPr>
      </w:pPr>
      <w:r w:rsidRPr="008A2462">
        <w:rPr>
          <w:b/>
          <w:bCs/>
          <w:lang w:val="it-IT"/>
        </w:rPr>
        <w:lastRenderedPageBreak/>
        <w:t>Localized vs. Severe Infection</w:t>
      </w:r>
      <w:r w:rsidRPr="008A2462">
        <w:rPr>
          <w:lang w:val="it-IT"/>
        </w:rPr>
        <w:t>: Infection localized in the nasal cavity (where target cell density is lower) might resolve more easily compared to lung infections, explaining asymptomatic or mild cases.</w:t>
      </w:r>
    </w:p>
    <w:p w14:paraId="1F9D6385" w14:textId="77777777" w:rsidR="008A2462" w:rsidRPr="008A2462" w:rsidRDefault="008A2462" w:rsidP="008A2462">
      <w:pPr>
        <w:numPr>
          <w:ilvl w:val="0"/>
          <w:numId w:val="1"/>
        </w:numPr>
        <w:rPr>
          <w:lang w:val="it-IT"/>
        </w:rPr>
      </w:pPr>
      <w:r w:rsidRPr="008A2462">
        <w:rPr>
          <w:b/>
          <w:bCs/>
          <w:lang w:val="it-IT"/>
        </w:rPr>
        <w:t>Recommendations for Future Studies:</w:t>
      </w:r>
    </w:p>
    <w:p w14:paraId="73FFB929" w14:textId="77777777" w:rsidR="008A2462" w:rsidRPr="008A2462" w:rsidRDefault="008A2462" w:rsidP="008A2462">
      <w:pPr>
        <w:numPr>
          <w:ilvl w:val="1"/>
          <w:numId w:val="1"/>
        </w:numPr>
        <w:rPr>
          <w:lang w:val="it-IT"/>
        </w:rPr>
      </w:pPr>
      <w:r w:rsidRPr="008A2462">
        <w:rPr>
          <w:lang w:val="it-IT"/>
        </w:rPr>
        <w:t>Further validation of the model through clinical and experimental data is required.</w:t>
      </w:r>
    </w:p>
    <w:p w14:paraId="346F3D8D" w14:textId="77777777" w:rsidR="008A2462" w:rsidRPr="008A2462" w:rsidRDefault="008A2462" w:rsidP="008A2462">
      <w:pPr>
        <w:numPr>
          <w:ilvl w:val="1"/>
          <w:numId w:val="1"/>
        </w:numPr>
        <w:rPr>
          <w:lang w:val="it-IT"/>
        </w:rPr>
      </w:pPr>
      <w:r w:rsidRPr="008A2462">
        <w:rPr>
          <w:lang w:val="it-IT"/>
        </w:rPr>
        <w:t>Investigate the effects of antiviral drug timing and immunosuppressive strategies in controlled trials.</w:t>
      </w:r>
    </w:p>
    <w:p w14:paraId="2A99142E" w14:textId="77777777" w:rsidR="008A2462" w:rsidRPr="008A2462" w:rsidRDefault="008A2462" w:rsidP="008A2462">
      <w:pPr>
        <w:numPr>
          <w:ilvl w:val="1"/>
          <w:numId w:val="1"/>
        </w:numPr>
        <w:rPr>
          <w:lang w:val="it-IT"/>
        </w:rPr>
      </w:pPr>
      <w:r w:rsidRPr="008A2462">
        <w:rPr>
          <w:lang w:val="it-IT"/>
        </w:rPr>
        <w:t>Explore the regeneration rate of epithelial cells and its implications for viral clearance.</w:t>
      </w:r>
    </w:p>
    <w:p w14:paraId="4DA7E6E7" w14:textId="77777777" w:rsidR="008A2462" w:rsidRPr="008A2462" w:rsidRDefault="008A2462" w:rsidP="008A2462">
      <w:pPr>
        <w:rPr>
          <w:lang w:val="it-IT"/>
        </w:rPr>
      </w:pPr>
      <w:r w:rsidRPr="008A2462">
        <w:rPr>
          <w:lang w:val="it-IT"/>
        </w:rPr>
        <w:pict w14:anchorId="783AB7C0">
          <v:rect id="_x0000_i1045" style="width:0;height:1.5pt" o:hralign="center" o:hrstd="t" o:hr="t" fillcolor="#a0a0a0" stroked="f"/>
        </w:pict>
      </w:r>
    </w:p>
    <w:p w14:paraId="3D51FC9E" w14:textId="77777777" w:rsidR="008A2462" w:rsidRPr="008A2462" w:rsidRDefault="008A2462" w:rsidP="008A2462">
      <w:pPr>
        <w:rPr>
          <w:b/>
          <w:bCs/>
          <w:lang w:val="it-IT"/>
        </w:rPr>
      </w:pPr>
      <w:r w:rsidRPr="008A2462">
        <w:rPr>
          <w:b/>
          <w:bCs/>
          <w:lang w:val="it-IT"/>
        </w:rPr>
        <w:t>Conclusions:</w:t>
      </w:r>
    </w:p>
    <w:p w14:paraId="0D5504EE" w14:textId="77777777" w:rsidR="008A2462" w:rsidRPr="008A2462" w:rsidRDefault="008A2462" w:rsidP="008A2462">
      <w:pPr>
        <w:rPr>
          <w:lang w:val="it-IT"/>
        </w:rPr>
      </w:pPr>
      <w:r w:rsidRPr="008A2462">
        <w:rPr>
          <w:lang w:val="it-IT"/>
        </w:rPr>
        <w:t>The study highlights the critical role of immune response dynamics in COVID-19 pathogenesis. It suggests that manipulating the timing and strength of adaptive immunity could improve patient outcomes. These findings provide a foundation for developing treatment protocols, including immunomodulation and antiviral therapies.</w:t>
      </w:r>
    </w:p>
    <w:p w14:paraId="11AAD589" w14:textId="77777777" w:rsidR="008A2462" w:rsidRPr="008A2462" w:rsidRDefault="008A2462" w:rsidP="008A2462">
      <w:pPr>
        <w:rPr>
          <w:lang w:val="it-IT"/>
        </w:rPr>
      </w:pPr>
      <w:r w:rsidRPr="008A2462">
        <w:rPr>
          <w:lang w:val="it-IT"/>
        </w:rPr>
        <w:t>Let me know if you'd like a deeper explanation of any section!</w:t>
      </w:r>
    </w:p>
    <w:p w14:paraId="558A5256" w14:textId="77777777" w:rsidR="00DE11CF" w:rsidRDefault="00DE11CF"/>
    <w:sectPr w:rsidR="00DE11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E6993"/>
    <w:multiLevelType w:val="multilevel"/>
    <w:tmpl w:val="D534D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07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42"/>
    <w:rsid w:val="00853B42"/>
    <w:rsid w:val="008A2462"/>
    <w:rsid w:val="00C625FB"/>
    <w:rsid w:val="00CE12FE"/>
    <w:rsid w:val="00DE11CF"/>
    <w:rsid w:val="00F71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9F3A6-1FA6-4435-A361-C4DD4A5A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53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53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53B4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53B4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53B4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53B4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53B4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53B4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53B4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3B4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853B4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853B4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853B4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853B4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853B4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853B4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853B4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853B4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853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3B4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853B4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53B4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853B4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53B42"/>
    <w:rPr>
      <w:i/>
      <w:iCs/>
      <w:color w:val="404040" w:themeColor="text1" w:themeTint="BF"/>
      <w:lang w:val="en-GB"/>
    </w:rPr>
  </w:style>
  <w:style w:type="paragraph" w:styleId="Paragrafoelenco">
    <w:name w:val="List Paragraph"/>
    <w:basedOn w:val="Normale"/>
    <w:uiPriority w:val="34"/>
    <w:qFormat/>
    <w:rsid w:val="00853B42"/>
    <w:pPr>
      <w:ind w:left="720"/>
      <w:contextualSpacing/>
    </w:pPr>
  </w:style>
  <w:style w:type="character" w:styleId="Enfasiintensa">
    <w:name w:val="Intense Emphasis"/>
    <w:basedOn w:val="Carpredefinitoparagrafo"/>
    <w:uiPriority w:val="21"/>
    <w:qFormat/>
    <w:rsid w:val="00853B42"/>
    <w:rPr>
      <w:i/>
      <w:iCs/>
      <w:color w:val="0F4761" w:themeColor="accent1" w:themeShade="BF"/>
    </w:rPr>
  </w:style>
  <w:style w:type="paragraph" w:styleId="Citazioneintensa">
    <w:name w:val="Intense Quote"/>
    <w:basedOn w:val="Normale"/>
    <w:next w:val="Normale"/>
    <w:link w:val="CitazioneintensaCarattere"/>
    <w:uiPriority w:val="30"/>
    <w:qFormat/>
    <w:rsid w:val="00853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53B42"/>
    <w:rPr>
      <w:i/>
      <w:iCs/>
      <w:color w:val="0F4761" w:themeColor="accent1" w:themeShade="BF"/>
      <w:lang w:val="en-GB"/>
    </w:rPr>
  </w:style>
  <w:style w:type="character" w:styleId="Riferimentointenso">
    <w:name w:val="Intense Reference"/>
    <w:basedOn w:val="Carpredefinitoparagrafo"/>
    <w:uiPriority w:val="32"/>
    <w:qFormat/>
    <w:rsid w:val="00853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262824">
      <w:bodyDiv w:val="1"/>
      <w:marLeft w:val="0"/>
      <w:marRight w:val="0"/>
      <w:marTop w:val="0"/>
      <w:marBottom w:val="0"/>
      <w:divBdr>
        <w:top w:val="none" w:sz="0" w:space="0" w:color="auto"/>
        <w:left w:val="none" w:sz="0" w:space="0" w:color="auto"/>
        <w:bottom w:val="none" w:sz="0" w:space="0" w:color="auto"/>
        <w:right w:val="none" w:sz="0" w:space="0" w:color="auto"/>
      </w:divBdr>
    </w:div>
    <w:div w:id="19531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policano</dc:creator>
  <cp:keywords/>
  <dc:description/>
  <cp:lastModifiedBy>luca policano</cp:lastModifiedBy>
  <cp:revision>2</cp:revision>
  <dcterms:created xsi:type="dcterms:W3CDTF">2025-01-23T17:54:00Z</dcterms:created>
  <dcterms:modified xsi:type="dcterms:W3CDTF">2025-01-23T17:55:00Z</dcterms:modified>
</cp:coreProperties>
</file>