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i51ufs187fqv" w:id="0"/>
      <w:bookmarkEnd w:id="0"/>
      <w:r w:rsidDel="00000000" w:rsidR="00000000" w:rsidRPr="00000000">
        <w:rPr>
          <w:rtl w:val="0"/>
        </w:rPr>
        <w:t xml:space="preserve">PolicyEngine POSE Phase I Budget Justification</w:t>
      </w:r>
    </w:p>
    <w:p w:rsidR="00000000" w:rsidDel="00000000" w:rsidP="00000000" w:rsidRDefault="00000000" w:rsidRPr="00000000" w14:paraId="00000002">
      <w:pPr>
        <w:pStyle w:val="Heading1"/>
        <w:rPr/>
      </w:pPr>
      <w:bookmarkStart w:colFirst="0" w:colLast="0" w:name="_f52q00myy24u" w:id="1"/>
      <w:bookmarkEnd w:id="1"/>
      <w:r w:rsidDel="00000000" w:rsidR="00000000" w:rsidRPr="00000000">
        <w:rPr>
          <w:rtl w:val="0"/>
        </w:rPr>
        <w:t xml:space="preserve">A. Senior Personnel ($30,000)</w:t>
      </w:r>
    </w:p>
    <w:p w:rsidR="00000000" w:rsidDel="00000000" w:rsidP="00000000" w:rsidRDefault="00000000" w:rsidRPr="00000000" w14:paraId="00000003">
      <w:pPr>
        <w:rPr/>
      </w:pPr>
      <w:r w:rsidDel="00000000" w:rsidR="00000000" w:rsidRPr="00000000">
        <w:rPr>
          <w:b w:val="1"/>
          <w:rtl w:val="0"/>
        </w:rPr>
        <w:t xml:space="preserve">Max Ghenis (PI/CEO)</w:t>
      </w:r>
      <w:r w:rsidDel="00000000" w:rsidR="00000000" w:rsidRPr="00000000">
        <w:rPr>
          <w:rtl w:val="0"/>
        </w:rPr>
        <w:t xml:space="preserve"> - $30,000</w:t>
      </w:r>
    </w:p>
    <w:p w:rsidR="00000000" w:rsidDel="00000000" w:rsidP="00000000" w:rsidRDefault="00000000" w:rsidRPr="00000000" w14:paraId="00000004">
      <w:pPr>
        <w:rPr/>
      </w:pPr>
      <w:r w:rsidDel="00000000" w:rsidR="00000000" w:rsidRPr="00000000">
        <w:rPr>
          <w:rtl w:val="0"/>
        </w:rPr>
        <w:t xml:space="preserve">Max will work </w:t>
      </w:r>
      <w:r w:rsidDel="00000000" w:rsidR="00000000" w:rsidRPr="00000000">
        <w:rPr>
          <w:rtl w:val="0"/>
        </w:rPr>
        <w:t xml:space="preserve">2 months at $15,000/month. He will provide strategic oversight of the ecosystem discovery process, stakeholder engagement, and strategic planning, leading the effort to transform PolicyEngine into a sustainable open-source ecosystem.</w:t>
      </w:r>
    </w:p>
    <w:p w:rsidR="00000000" w:rsidDel="00000000" w:rsidP="00000000" w:rsidRDefault="00000000" w:rsidRPr="00000000" w14:paraId="00000005">
      <w:pPr>
        <w:rPr/>
      </w:pPr>
      <w:r w:rsidDel="00000000" w:rsidR="00000000" w:rsidRPr="00000000">
        <w:rPr>
          <w:rtl w:val="0"/>
        </w:rPr>
        <w:t xml:space="preserve">At an annualized $180,000, this role falls within the 75th percentile of Economists in Washington, DC. Economists (SOC 19-3011, </w:t>
      </w:r>
      <w:hyperlink r:id="rId6">
        <w:r w:rsidDel="00000000" w:rsidR="00000000" w:rsidRPr="00000000">
          <w:rPr>
            <w:color w:val="1155cc"/>
            <w:u w:val="single"/>
            <w:rtl w:val="0"/>
          </w:rPr>
          <w:t xml:space="preserve">https://www.bls.gov/oes/current/oes193011.htm</w:t>
        </w:r>
      </w:hyperlink>
      <w:r w:rsidDel="00000000" w:rsidR="00000000" w:rsidRPr="00000000">
        <w:rPr>
          <w:rtl w:val="0"/>
        </w:rPr>
        <w:t xml:space="preserve">) in Washington, DC have a 75th percentile salary of $191,880</w:t>
      </w:r>
      <w:r w:rsidDel="00000000" w:rsidR="00000000" w:rsidRPr="00000000">
        <w:rPr>
          <w:rtl w:val="0"/>
        </w:rPr>
        <w:t xml:space="preserve"> (</w:t>
      </w:r>
      <w:hyperlink r:id="rId7">
        <w:r w:rsidDel="00000000" w:rsidR="00000000" w:rsidRPr="00000000">
          <w:rPr>
            <w:color w:val="1155cc"/>
            <w:u w:val="single"/>
            <w:rtl w:val="0"/>
          </w:rPr>
          <w:t xml:space="preserve">https://oews-explorer.streamlit.app</w:t>
        </w:r>
      </w:hyperlink>
      <w:r w:rsidDel="00000000" w:rsidR="00000000" w:rsidRPr="00000000">
        <w:rPr>
          <w:rtl w:val="0"/>
        </w:rPr>
        <w:t xml:space="preserve">). </w:t>
      </w:r>
    </w:p>
    <w:p w:rsidR="00000000" w:rsidDel="00000000" w:rsidP="00000000" w:rsidRDefault="00000000" w:rsidRPr="00000000" w14:paraId="00000006">
      <w:pPr>
        <w:pStyle w:val="Heading1"/>
        <w:rPr/>
      </w:pPr>
      <w:bookmarkStart w:colFirst="0" w:colLast="0" w:name="_1sho69nazvvd" w:id="2"/>
      <w:bookmarkEnd w:id="2"/>
      <w:r w:rsidDel="00000000" w:rsidR="00000000" w:rsidRPr="00000000">
        <w:rPr>
          <w:rtl w:val="0"/>
        </w:rPr>
        <w:t xml:space="preserve">B. Other Personnel ($134,000)</w:t>
      </w:r>
    </w:p>
    <w:p w:rsidR="00000000" w:rsidDel="00000000" w:rsidP="00000000" w:rsidRDefault="00000000" w:rsidRPr="00000000" w14:paraId="00000007">
      <w:pPr>
        <w:spacing w:after="240" w:before="240" w:lineRule="auto"/>
        <w:ind w:left="0" w:firstLine="0"/>
        <w:rPr/>
      </w:pPr>
      <w:r w:rsidDel="00000000" w:rsidR="00000000" w:rsidRPr="00000000">
        <w:rPr>
          <w:b w:val="1"/>
          <w:rtl w:val="0"/>
        </w:rPr>
        <w:t xml:space="preserve">Technical Program Manager</w:t>
      </w:r>
      <w:r w:rsidDel="00000000" w:rsidR="00000000" w:rsidRPr="00000000">
        <w:rPr>
          <w:rtl w:val="0"/>
        </w:rPr>
        <w:t xml:space="preserve"> - $121,000</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The Technical Program Manager will work 11 months at $11,000/month. This person will lead ecosystem discovery and stakeholder engagement, manage developer relations and community building, coordinate technical requirements for scaling the open-source ecosystem, develop and implement community engagement strategies, and oversee documentation and technical communication.</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At an annualized $132,000, this role falls within the 75th percentile of Computer and Information Systems Managers in Washington, DC. Computer and Information Systems Managers (SOC 11-3021,</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https://www.bls.gov/oes/2023/may/oes113021.htm</w:t>
        </w:r>
      </w:hyperlink>
      <w:r w:rsidDel="00000000" w:rsidR="00000000" w:rsidRPr="00000000">
        <w:rPr>
          <w:rtl w:val="0"/>
        </w:rPr>
        <w:t xml:space="preserve">) in Washington, DC have a 75th percentile salary of $205,510 (</w:t>
      </w:r>
      <w:hyperlink r:id="rId10">
        <w:r w:rsidDel="00000000" w:rsidR="00000000" w:rsidRPr="00000000">
          <w:rPr>
            <w:color w:val="1155cc"/>
            <w:u w:val="single"/>
            <w:rtl w:val="0"/>
          </w:rPr>
          <w:t xml:space="preserve">https://oews-explorer.streamlit.app</w:t>
        </w:r>
      </w:hyperlink>
      <w:r w:rsidDel="00000000" w:rsidR="00000000" w:rsidRPr="00000000">
        <w:rPr>
          <w:rtl w:val="0"/>
        </w:rPr>
        <w:t xml:space="preserve">).</w:t>
      </w:r>
    </w:p>
    <w:p w:rsidR="00000000" w:rsidDel="00000000" w:rsidP="00000000" w:rsidRDefault="00000000" w:rsidRPr="00000000" w14:paraId="0000000A">
      <w:pPr>
        <w:spacing w:after="240" w:before="240" w:lineRule="auto"/>
        <w:ind w:left="0" w:firstLine="0"/>
        <w:rPr/>
      </w:pPr>
      <w:r w:rsidDel="00000000" w:rsidR="00000000" w:rsidRPr="00000000">
        <w:rPr>
          <w:b w:val="1"/>
          <w:rtl w:val="0"/>
        </w:rPr>
        <w:t xml:space="preserve">Technical Engagement Manager</w:t>
      </w:r>
      <w:r w:rsidDel="00000000" w:rsidR="00000000" w:rsidRPr="00000000">
        <w:rPr>
          <w:rtl w:val="0"/>
        </w:rPr>
        <w:t xml:space="preserve"> - $13,000</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The Technical Engagement Manager will work 1 month at $13,000/month. This person will assess technical infrastructure needs for scaling, evaluate and document technical requirements for community contributions, and design developer onboarding processes.</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At an annualized $156,000, this role falls within the 75th percentile of Software Developers in Washington, DC. Software Developers (SOC 15-1252,</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https://www.bls.gov/oes/current/oes151252.htm</w:t>
        </w:r>
      </w:hyperlink>
      <w:r w:rsidDel="00000000" w:rsidR="00000000" w:rsidRPr="00000000">
        <w:rPr>
          <w:rtl w:val="0"/>
        </w:rPr>
        <w:t xml:space="preserve">) in Washington, DC have a 75th percentile salary of $169,200 (</w:t>
      </w:r>
      <w:hyperlink r:id="rId13">
        <w:r w:rsidDel="00000000" w:rsidR="00000000" w:rsidRPr="00000000">
          <w:rPr>
            <w:color w:val="1155cc"/>
            <w:u w:val="single"/>
            <w:rtl w:val="0"/>
          </w:rPr>
          <w:t xml:space="preserve">https://oews-explorer.streamlit.app</w:t>
        </w:r>
      </w:hyperlink>
      <w:r w:rsidDel="00000000" w:rsidR="00000000" w:rsidRPr="00000000">
        <w:rPr>
          <w:rtl w:val="0"/>
        </w:rPr>
        <w:t xml:space="preserve">).</w:t>
      </w:r>
    </w:p>
    <w:p w:rsidR="00000000" w:rsidDel="00000000" w:rsidP="00000000" w:rsidRDefault="00000000" w:rsidRPr="00000000" w14:paraId="0000000D">
      <w:pPr>
        <w:pStyle w:val="Heading1"/>
        <w:rPr/>
      </w:pPr>
      <w:bookmarkStart w:colFirst="0" w:colLast="0" w:name="_jjfobkziaxqc" w:id="3"/>
      <w:bookmarkEnd w:id="3"/>
      <w:r w:rsidDel="00000000" w:rsidR="00000000" w:rsidRPr="00000000">
        <w:rPr>
          <w:rtl w:val="0"/>
        </w:rPr>
        <w:t xml:space="preserve">C. Fringe Benefits ($57,400)</w:t>
      </w:r>
    </w:p>
    <w:p w:rsidR="00000000" w:rsidDel="00000000" w:rsidP="00000000" w:rsidRDefault="00000000" w:rsidRPr="00000000" w14:paraId="0000000E">
      <w:pPr>
        <w:rPr/>
      </w:pPr>
      <w:r w:rsidDel="00000000" w:rsidR="00000000" w:rsidRPr="00000000">
        <w:rPr>
          <w:rtl w:val="0"/>
        </w:rPr>
        <w:t xml:space="preserve">Calculated at 35% of salaries for all personnel (35% * $164,000).</w:t>
      </w:r>
    </w:p>
    <w:p w:rsidR="00000000" w:rsidDel="00000000" w:rsidP="00000000" w:rsidRDefault="00000000" w:rsidRPr="00000000" w14:paraId="0000000F">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Includes:</w:t>
      </w:r>
    </w:p>
    <w:p w:rsidR="00000000" w:rsidDel="00000000" w:rsidP="00000000" w:rsidRDefault="00000000" w:rsidRPr="00000000" w14:paraId="00000010">
      <w:pPr>
        <w:numPr>
          <w:ilvl w:val="1"/>
          <w:numId w:val="1"/>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403(b) retirement contribution (25%)</w:t>
      </w:r>
    </w:p>
    <w:p w:rsidR="00000000" w:rsidDel="00000000" w:rsidP="00000000" w:rsidRDefault="00000000" w:rsidRPr="00000000" w14:paraId="00000011">
      <w:pPr>
        <w:numPr>
          <w:ilvl w:val="1"/>
          <w:numId w:val="1"/>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FICA taxes (7.65%)</w:t>
      </w:r>
    </w:p>
    <w:p w:rsidR="00000000" w:rsidDel="00000000" w:rsidP="00000000" w:rsidRDefault="00000000" w:rsidRPr="00000000" w14:paraId="00000012">
      <w:pPr>
        <w:numPr>
          <w:ilvl w:val="1"/>
          <w:numId w:val="1"/>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Federal unemployment insurance (0.6%)</w:t>
      </w:r>
    </w:p>
    <w:p w:rsidR="00000000" w:rsidDel="00000000" w:rsidP="00000000" w:rsidRDefault="00000000" w:rsidRPr="00000000" w14:paraId="00000013">
      <w:pPr>
        <w:numPr>
          <w:ilvl w:val="1"/>
          <w:numId w:val="1"/>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State unemployment insurance (2.7% on first $9,000)</w:t>
      </w:r>
    </w:p>
    <w:p w:rsidR="00000000" w:rsidDel="00000000" w:rsidP="00000000" w:rsidRDefault="00000000" w:rsidRPr="00000000" w14:paraId="00000014">
      <w:pPr>
        <w:numPr>
          <w:ilvl w:val="1"/>
          <w:numId w:val="1"/>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Workers compensation insurance (~1%)</w:t>
      </w:r>
    </w:p>
    <w:p w:rsidR="00000000" w:rsidDel="00000000" w:rsidP="00000000" w:rsidRDefault="00000000" w:rsidRPr="00000000" w14:paraId="00000015">
      <w:pPr>
        <w:numPr>
          <w:ilvl w:val="1"/>
          <w:numId w:val="1"/>
        </w:numPr>
        <w:spacing w:after="0" w:afterAutospacing="0"/>
        <w:ind w:left="1440" w:hanging="360"/>
        <w:rPr>
          <w:u w:val="none"/>
        </w:rPr>
      </w:pPr>
      <w:r w:rsidDel="00000000" w:rsidR="00000000" w:rsidRPr="00000000">
        <w:rPr>
          <w:rtl w:val="0"/>
        </w:rPr>
        <w:t xml:space="preserve">DC Paid Family Leave tax (0.62%)</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PSL Foundation does not provide health insurance</w:t>
      </w:r>
    </w:p>
    <w:p w:rsidR="00000000" w:rsidDel="00000000" w:rsidP="00000000" w:rsidRDefault="00000000" w:rsidRPr="00000000" w14:paraId="00000017">
      <w:pPr>
        <w:pStyle w:val="Heading1"/>
        <w:rPr/>
      </w:pPr>
      <w:bookmarkStart w:colFirst="0" w:colLast="0" w:name="_h255n26h1uez" w:id="4"/>
      <w:bookmarkEnd w:id="4"/>
      <w:r w:rsidDel="00000000" w:rsidR="00000000" w:rsidRPr="00000000">
        <w:rPr>
          <w:rtl w:val="0"/>
        </w:rPr>
        <w:t xml:space="preserve">E. Travel ($35,757)</w:t>
      </w:r>
    </w:p>
    <w:p w:rsidR="00000000" w:rsidDel="00000000" w:rsidP="00000000" w:rsidRDefault="00000000" w:rsidRPr="00000000" w14:paraId="00000018">
      <w:pPr>
        <w:ind w:left="0" w:firstLine="0"/>
        <w:rPr/>
      </w:pPr>
      <w:r w:rsidDel="00000000" w:rsidR="00000000" w:rsidRPr="00000000">
        <w:rPr>
          <w:rtl w:val="0"/>
        </w:rPr>
        <w:t xml:space="preserve">We will engage geographic and subject matter communities through five conferences and four hosted events across the country. Table 1 below summarizes the costs for each event. In our accompanying budget impact statement, we document each cost component with screenshots from Google Flights, GSA’s per diem rate tool, conference registration pages, and event space companies.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Table 1: Cost of each conference and hosted community event.</w:t>
      </w:r>
    </w:p>
    <w:tbl>
      <w:tblPr>
        <w:tblStyle w:val="Table1"/>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735"/>
        <w:gridCol w:w="735"/>
        <w:gridCol w:w="855"/>
        <w:gridCol w:w="855"/>
        <w:gridCol w:w="855"/>
        <w:gridCol w:w="855"/>
        <w:gridCol w:w="855"/>
        <w:gridCol w:w="855"/>
        <w:gridCol w:w="855"/>
        <w:gridCol w:w="855"/>
        <w:tblGridChange w:id="0">
          <w:tblGrid>
            <w:gridCol w:w="1095"/>
            <w:gridCol w:w="735"/>
            <w:gridCol w:w="735"/>
            <w:gridCol w:w="855"/>
            <w:gridCol w:w="855"/>
            <w:gridCol w:w="855"/>
            <w:gridCol w:w="855"/>
            <w:gridCol w:w="855"/>
            <w:gridCol w:w="855"/>
            <w:gridCol w:w="855"/>
            <w:gridCol w:w="855"/>
          </w:tblGrid>
        </w:tblGridChange>
      </w:tblGrid>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shd w:fill="666666" w:val="clear"/>
            <w:tcMar>
              <w:top w:w="40.0" w:type="dxa"/>
              <w:left w:w="40.0" w:type="dxa"/>
              <w:bottom w:w="40.0" w:type="dxa"/>
              <w:right w:w="40.0" w:type="dxa"/>
            </w:tcMar>
            <w:vAlign w:val="bottom"/>
          </w:tcPr>
          <w:p w:rsidR="00000000" w:rsidDel="00000000" w:rsidP="00000000" w:rsidRDefault="00000000" w:rsidRPr="00000000" w14:paraId="0000001B">
            <w:pPr>
              <w:widowControl w:val="0"/>
              <w:spacing w:after="0" w:line="276" w:lineRule="auto"/>
              <w:ind w:left="0" w:firstLine="0"/>
              <w:rPr>
                <w:b w:val="1"/>
                <w:color w:val="ffffff"/>
              </w:rPr>
            </w:pPr>
            <w:r w:rsidDel="00000000" w:rsidR="00000000" w:rsidRPr="00000000">
              <w:rPr>
                <w:b w:val="1"/>
                <w:color w:val="ffffff"/>
                <w:rtl w:val="0"/>
              </w:rPr>
              <w:t xml:space="preserve">Conference / Event</w:t>
            </w:r>
          </w:p>
        </w:tc>
        <w:tc>
          <w:tcPr>
            <w:tcBorders>
              <w:top w:color="cccccc" w:space="0" w:sz="5" w:val="single"/>
              <w:left w:color="cccccc" w:space="0" w:sz="5" w:val="single"/>
              <w:bottom w:color="cccccc" w:space="0" w:sz="5" w:val="single"/>
              <w:right w:color="cccccc" w:space="0" w:sz="5" w:val="single"/>
            </w:tcBorders>
            <w:shd w:fill="666666" w:val="clear"/>
            <w:tcMar>
              <w:top w:w="40.0" w:type="dxa"/>
              <w:left w:w="40.0" w:type="dxa"/>
              <w:bottom w:w="40.0" w:type="dxa"/>
              <w:right w:w="40.0" w:type="dxa"/>
            </w:tcMar>
            <w:vAlign w:val="bottom"/>
          </w:tcPr>
          <w:p w:rsidR="00000000" w:rsidDel="00000000" w:rsidP="00000000" w:rsidRDefault="00000000" w:rsidRPr="00000000" w14:paraId="0000001C">
            <w:pPr>
              <w:widowControl w:val="0"/>
              <w:spacing w:after="0" w:line="276" w:lineRule="auto"/>
              <w:ind w:left="0" w:firstLine="0"/>
              <w:rPr>
                <w:b w:val="1"/>
                <w:color w:val="ffffff"/>
              </w:rPr>
            </w:pPr>
            <w:r w:rsidDel="00000000" w:rsidR="00000000" w:rsidRPr="00000000">
              <w:rPr>
                <w:b w:val="1"/>
                <w:color w:val="ffffff"/>
                <w:rtl w:val="0"/>
              </w:rPr>
              <w:t xml:space="preserve">Start date</w:t>
            </w:r>
          </w:p>
        </w:tc>
        <w:tc>
          <w:tcPr>
            <w:tcBorders>
              <w:top w:color="cccccc" w:space="0" w:sz="5" w:val="single"/>
              <w:left w:color="cccccc" w:space="0" w:sz="5" w:val="single"/>
              <w:bottom w:color="cccccc" w:space="0" w:sz="5" w:val="single"/>
              <w:right w:color="cccccc" w:space="0" w:sz="5" w:val="single"/>
            </w:tcBorders>
            <w:shd w:fill="666666" w:val="clear"/>
            <w:tcMar>
              <w:top w:w="40.0" w:type="dxa"/>
              <w:left w:w="40.0" w:type="dxa"/>
              <w:bottom w:w="40.0" w:type="dxa"/>
              <w:right w:w="40.0" w:type="dxa"/>
            </w:tcMar>
            <w:vAlign w:val="bottom"/>
          </w:tcPr>
          <w:p w:rsidR="00000000" w:rsidDel="00000000" w:rsidP="00000000" w:rsidRDefault="00000000" w:rsidRPr="00000000" w14:paraId="0000001D">
            <w:pPr>
              <w:widowControl w:val="0"/>
              <w:spacing w:after="0" w:line="276" w:lineRule="auto"/>
              <w:ind w:left="0" w:firstLine="0"/>
              <w:rPr>
                <w:b w:val="1"/>
                <w:color w:val="ffffff"/>
              </w:rPr>
            </w:pPr>
            <w:r w:rsidDel="00000000" w:rsidR="00000000" w:rsidRPr="00000000">
              <w:rPr>
                <w:b w:val="1"/>
                <w:color w:val="ffffff"/>
                <w:rtl w:val="0"/>
              </w:rPr>
              <w:t xml:space="preserve">End date</w:t>
            </w:r>
          </w:p>
        </w:tc>
        <w:tc>
          <w:tcPr>
            <w:tcBorders>
              <w:top w:color="cccccc" w:space="0" w:sz="5" w:val="single"/>
              <w:left w:color="cccccc" w:space="0" w:sz="5" w:val="single"/>
              <w:bottom w:color="cccccc" w:space="0" w:sz="5" w:val="single"/>
              <w:right w:color="cccccc" w:space="0" w:sz="5" w:val="single"/>
            </w:tcBorders>
            <w:shd w:fill="666666" w:val="clear"/>
            <w:tcMar>
              <w:top w:w="40.0" w:type="dxa"/>
              <w:left w:w="40.0" w:type="dxa"/>
              <w:bottom w:w="40.0" w:type="dxa"/>
              <w:right w:w="40.0" w:type="dxa"/>
            </w:tcMar>
            <w:vAlign w:val="bottom"/>
          </w:tcPr>
          <w:p w:rsidR="00000000" w:rsidDel="00000000" w:rsidP="00000000" w:rsidRDefault="00000000" w:rsidRPr="00000000" w14:paraId="0000001E">
            <w:pPr>
              <w:widowControl w:val="0"/>
              <w:spacing w:after="0" w:line="276" w:lineRule="auto"/>
              <w:ind w:left="0" w:firstLine="0"/>
              <w:rPr>
                <w:b w:val="1"/>
                <w:color w:val="ffffff"/>
              </w:rPr>
            </w:pPr>
            <w:r w:rsidDel="00000000" w:rsidR="00000000" w:rsidRPr="00000000">
              <w:rPr>
                <w:b w:val="1"/>
                <w:color w:val="ffffff"/>
                <w:rtl w:val="0"/>
              </w:rPr>
              <w:t xml:space="preserve">Location</w:t>
            </w:r>
          </w:p>
        </w:tc>
        <w:tc>
          <w:tcPr>
            <w:tcBorders>
              <w:top w:color="cccccc" w:space="0" w:sz="5" w:val="single"/>
              <w:left w:color="cccccc" w:space="0" w:sz="5" w:val="single"/>
              <w:bottom w:color="cccccc" w:space="0" w:sz="5" w:val="single"/>
              <w:right w:color="cccccc" w:space="0" w:sz="5" w:val="single"/>
            </w:tcBorders>
            <w:shd w:fill="666666" w:val="clear"/>
            <w:tcMar>
              <w:top w:w="40.0" w:type="dxa"/>
              <w:left w:w="40.0" w:type="dxa"/>
              <w:bottom w:w="40.0" w:type="dxa"/>
              <w:right w:w="40.0" w:type="dxa"/>
            </w:tcMar>
            <w:vAlign w:val="bottom"/>
          </w:tcPr>
          <w:p w:rsidR="00000000" w:rsidDel="00000000" w:rsidP="00000000" w:rsidRDefault="00000000" w:rsidRPr="00000000" w14:paraId="0000001F">
            <w:pPr>
              <w:widowControl w:val="0"/>
              <w:spacing w:after="0" w:line="276" w:lineRule="auto"/>
              <w:ind w:left="0" w:firstLine="0"/>
              <w:rPr>
                <w:b w:val="1"/>
                <w:color w:val="ffffff"/>
              </w:rPr>
            </w:pPr>
            <w:r w:rsidDel="00000000" w:rsidR="00000000" w:rsidRPr="00000000">
              <w:rPr>
                <w:b w:val="1"/>
                <w:color w:val="ffffff"/>
                <w:rtl w:val="0"/>
              </w:rPr>
              <w:t xml:space="preserve">Registration</w:t>
            </w:r>
          </w:p>
        </w:tc>
        <w:tc>
          <w:tcPr>
            <w:tcBorders>
              <w:top w:color="cccccc" w:space="0" w:sz="5" w:val="single"/>
              <w:left w:color="cccccc" w:space="0" w:sz="5" w:val="single"/>
              <w:bottom w:color="cccccc" w:space="0" w:sz="5" w:val="single"/>
              <w:right w:color="cccccc" w:space="0" w:sz="5" w:val="single"/>
            </w:tcBorders>
            <w:shd w:fill="666666" w:val="clear"/>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76" w:lineRule="auto"/>
              <w:ind w:left="0" w:firstLine="0"/>
              <w:rPr>
                <w:b w:val="1"/>
                <w:color w:val="ffffff"/>
              </w:rPr>
            </w:pPr>
            <w:r w:rsidDel="00000000" w:rsidR="00000000" w:rsidRPr="00000000">
              <w:rPr>
                <w:b w:val="1"/>
                <w:color w:val="ffffff"/>
                <w:rtl w:val="0"/>
              </w:rPr>
              <w:t xml:space="preserve">Per diem</w:t>
            </w:r>
          </w:p>
        </w:tc>
        <w:tc>
          <w:tcPr>
            <w:tcBorders>
              <w:top w:color="cccccc" w:space="0" w:sz="5" w:val="single"/>
              <w:left w:color="cccccc" w:space="0" w:sz="5" w:val="single"/>
              <w:bottom w:color="cccccc" w:space="0" w:sz="5" w:val="single"/>
              <w:right w:color="cccccc" w:space="0" w:sz="5" w:val="single"/>
            </w:tcBorders>
            <w:shd w:fill="666666" w:val="clear"/>
            <w:tcMar>
              <w:top w:w="40.0" w:type="dxa"/>
              <w:left w:w="40.0" w:type="dxa"/>
              <w:bottom w:w="40.0" w:type="dxa"/>
              <w:right w:w="40.0" w:type="dxa"/>
            </w:tcMar>
            <w:vAlign w:val="bottom"/>
          </w:tcPr>
          <w:p w:rsidR="00000000" w:rsidDel="00000000" w:rsidP="00000000" w:rsidRDefault="00000000" w:rsidRPr="00000000" w14:paraId="00000021">
            <w:pPr>
              <w:widowControl w:val="0"/>
              <w:spacing w:after="0" w:line="276" w:lineRule="auto"/>
              <w:ind w:left="0" w:firstLine="0"/>
              <w:rPr>
                <w:b w:val="1"/>
                <w:color w:val="ffffff"/>
              </w:rPr>
            </w:pPr>
            <w:r w:rsidDel="00000000" w:rsidR="00000000" w:rsidRPr="00000000">
              <w:rPr>
                <w:b w:val="1"/>
                <w:color w:val="ffffff"/>
                <w:rtl w:val="0"/>
              </w:rPr>
              <w:t xml:space="preserve">Flights</w:t>
            </w:r>
          </w:p>
        </w:tc>
        <w:tc>
          <w:tcPr>
            <w:tcBorders>
              <w:top w:color="cccccc" w:space="0" w:sz="5" w:val="single"/>
              <w:left w:color="cccccc" w:space="0" w:sz="5" w:val="single"/>
              <w:bottom w:color="cccccc" w:space="0" w:sz="5" w:val="single"/>
              <w:right w:color="cccccc" w:space="0" w:sz="5" w:val="single"/>
            </w:tcBorders>
            <w:shd w:fill="666666" w:val="clear"/>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76" w:lineRule="auto"/>
              <w:ind w:left="0" w:firstLine="0"/>
              <w:rPr>
                <w:b w:val="1"/>
                <w:color w:val="ffffff"/>
              </w:rPr>
            </w:pPr>
            <w:r w:rsidDel="00000000" w:rsidR="00000000" w:rsidRPr="00000000">
              <w:rPr>
                <w:b w:val="1"/>
                <w:color w:val="ffffff"/>
                <w:rtl w:val="0"/>
              </w:rPr>
              <w:t xml:space="preserve">Total per person</w:t>
            </w:r>
          </w:p>
        </w:tc>
        <w:tc>
          <w:tcPr>
            <w:tcBorders>
              <w:top w:color="cccccc" w:space="0" w:sz="5" w:val="single"/>
              <w:left w:color="cccccc" w:space="0" w:sz="5" w:val="single"/>
              <w:bottom w:color="cccccc" w:space="0" w:sz="5" w:val="single"/>
              <w:right w:color="cccccc" w:space="0" w:sz="5" w:val="single"/>
            </w:tcBorders>
            <w:shd w:fill="666666" w:val="clear"/>
            <w:tcMar>
              <w:top w:w="40.0" w:type="dxa"/>
              <w:left w:w="40.0" w:type="dxa"/>
              <w:bottom w:w="40.0" w:type="dxa"/>
              <w:right w:w="40.0" w:type="dxa"/>
            </w:tcMar>
            <w:vAlign w:val="bottom"/>
          </w:tcPr>
          <w:p w:rsidR="00000000" w:rsidDel="00000000" w:rsidP="00000000" w:rsidRDefault="00000000" w:rsidRPr="00000000" w14:paraId="00000023">
            <w:pPr>
              <w:widowControl w:val="0"/>
              <w:spacing w:after="0" w:line="276" w:lineRule="auto"/>
              <w:ind w:left="0" w:firstLine="0"/>
              <w:rPr>
                <w:b w:val="1"/>
                <w:color w:val="ffffff"/>
              </w:rPr>
            </w:pPr>
            <w:r w:rsidDel="00000000" w:rsidR="00000000" w:rsidRPr="00000000">
              <w:rPr>
                <w:b w:val="1"/>
                <w:color w:val="ffffff"/>
                <w:rtl w:val="0"/>
              </w:rPr>
              <w:t xml:space="preserve">Total @ 2 people</w:t>
            </w:r>
          </w:p>
        </w:tc>
        <w:tc>
          <w:tcPr>
            <w:tcBorders>
              <w:top w:color="cccccc" w:space="0" w:sz="5" w:val="single"/>
              <w:left w:color="cccccc" w:space="0" w:sz="5" w:val="single"/>
              <w:bottom w:color="cccccc" w:space="0" w:sz="5" w:val="single"/>
              <w:right w:color="cccccc" w:space="0" w:sz="5" w:val="single"/>
            </w:tcBorders>
            <w:shd w:fill="666666" w:val="clear"/>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76" w:lineRule="auto"/>
              <w:ind w:left="0" w:firstLine="0"/>
              <w:rPr>
                <w:b w:val="1"/>
                <w:color w:val="ffffff"/>
              </w:rPr>
            </w:pPr>
            <w:r w:rsidDel="00000000" w:rsidR="00000000" w:rsidRPr="00000000">
              <w:rPr>
                <w:b w:val="1"/>
                <w:color w:val="ffffff"/>
                <w:rtl w:val="0"/>
              </w:rPr>
              <w:t xml:space="preserve">Meeting space</w:t>
            </w:r>
          </w:p>
        </w:tc>
        <w:tc>
          <w:tcPr>
            <w:tcBorders>
              <w:top w:color="cccccc" w:space="0" w:sz="5" w:val="single"/>
              <w:left w:color="cccccc" w:space="0" w:sz="5" w:val="single"/>
              <w:bottom w:color="cccccc" w:space="0" w:sz="5" w:val="single"/>
              <w:right w:color="cccccc" w:space="0" w:sz="5" w:val="single"/>
            </w:tcBorders>
            <w:shd w:fill="666666" w:val="clear"/>
            <w:tcMar>
              <w:top w:w="40.0" w:type="dxa"/>
              <w:left w:w="40.0" w:type="dxa"/>
              <w:bottom w:w="40.0" w:type="dxa"/>
              <w:right w:w="40.0" w:type="dxa"/>
            </w:tcMar>
            <w:vAlign w:val="bottom"/>
          </w:tcPr>
          <w:p w:rsidR="00000000" w:rsidDel="00000000" w:rsidP="00000000" w:rsidRDefault="00000000" w:rsidRPr="00000000" w14:paraId="00000025">
            <w:pPr>
              <w:widowControl w:val="0"/>
              <w:spacing w:after="0" w:line="276" w:lineRule="auto"/>
              <w:ind w:left="0" w:firstLine="0"/>
              <w:rPr>
                <w:b w:val="1"/>
                <w:color w:val="ffffff"/>
              </w:rPr>
            </w:pPr>
            <w:r w:rsidDel="00000000" w:rsidR="00000000" w:rsidRPr="00000000">
              <w:rPr>
                <w:b w:val="1"/>
                <w:color w:val="ffffff"/>
                <w:rtl w:val="0"/>
              </w:rPr>
              <w:t xml:space="preserve">Grand total</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76" w:lineRule="auto"/>
              <w:ind w:left="0" w:firstLine="0"/>
              <w:rPr>
                <w:b w:val="1"/>
              </w:rPr>
            </w:pPr>
            <w:r w:rsidDel="00000000" w:rsidR="00000000" w:rsidRPr="00000000">
              <w:rPr>
                <w:b w:val="1"/>
                <w:rtl w:val="0"/>
              </w:rPr>
              <w:t xml:space="preserve">NAWRS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76" w:lineRule="auto"/>
              <w:ind w:left="0" w:firstLine="0"/>
              <w:jc w:val="right"/>
              <w:rPr/>
            </w:pPr>
            <w:r w:rsidDel="00000000" w:rsidR="00000000" w:rsidRPr="00000000">
              <w:rPr>
                <w:rtl w:val="0"/>
              </w:rPr>
              <w:t xml:space="preserve">8/3/25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after="0" w:line="276" w:lineRule="auto"/>
              <w:ind w:left="0" w:firstLine="0"/>
              <w:jc w:val="right"/>
              <w:rPr/>
            </w:pPr>
            <w:r w:rsidDel="00000000" w:rsidR="00000000" w:rsidRPr="00000000">
              <w:rPr>
                <w:rtl w:val="0"/>
              </w:rPr>
              <w:t xml:space="preserve">8/6/25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ind w:left="0" w:firstLine="0"/>
              <w:rPr/>
            </w:pPr>
            <w:r w:rsidDel="00000000" w:rsidR="00000000" w:rsidRPr="00000000">
              <w:rPr>
                <w:rtl w:val="0"/>
              </w:rPr>
              <w:t xml:space="preserve">Charlotte NC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ind w:left="0" w:firstLine="0"/>
              <w:jc w:val="right"/>
              <w:rPr/>
            </w:pPr>
            <w:r w:rsidDel="00000000" w:rsidR="00000000" w:rsidRPr="00000000">
              <w:rPr>
                <w:rtl w:val="0"/>
              </w:rPr>
              <w:t xml:space="preserve">$899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76" w:lineRule="auto"/>
              <w:ind w:left="0" w:firstLine="0"/>
              <w:jc w:val="right"/>
              <w:rPr/>
            </w:pPr>
            <w:r w:rsidDel="00000000" w:rsidR="00000000" w:rsidRPr="00000000">
              <w:rPr>
                <w:rtl w:val="0"/>
              </w:rPr>
              <w:t xml:space="preserve">$372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ind w:left="0" w:firstLine="0"/>
              <w:jc w:val="right"/>
              <w:rPr/>
            </w:pPr>
            <w:r w:rsidDel="00000000" w:rsidR="00000000" w:rsidRPr="00000000">
              <w:rPr>
                <w:rtl w:val="0"/>
              </w:rPr>
              <w:t xml:space="preserve">$299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after="0" w:line="276" w:lineRule="auto"/>
              <w:ind w:left="0" w:firstLine="0"/>
              <w:jc w:val="right"/>
              <w:rPr/>
            </w:pPr>
            <w:r w:rsidDel="00000000" w:rsidR="00000000" w:rsidRPr="00000000">
              <w:rPr>
                <w:rtl w:val="0"/>
              </w:rPr>
              <w:t xml:space="preserve">$1,570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ind w:left="0" w:firstLine="0"/>
              <w:jc w:val="right"/>
              <w:rPr/>
            </w:pPr>
            <w:r w:rsidDel="00000000" w:rsidR="00000000" w:rsidRPr="00000000">
              <w:rPr>
                <w:rtl w:val="0"/>
              </w:rPr>
              <w:t xml:space="preserve">$3,140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ind w:left="0" w:firstLine="0"/>
              <w:jc w:val="right"/>
              <w:rPr/>
            </w:pPr>
            <w:r w:rsidDel="00000000" w:rsidR="00000000" w:rsidRPr="00000000">
              <w:rPr>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ind w:left="0" w:firstLine="0"/>
              <w:jc w:val="right"/>
              <w:rPr/>
            </w:pPr>
            <w:r w:rsidDel="00000000" w:rsidR="00000000" w:rsidRPr="00000000">
              <w:rPr>
                <w:rtl w:val="0"/>
              </w:rPr>
              <w:t xml:space="preserve">$3,140</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ind w:left="0" w:firstLine="0"/>
              <w:rPr>
                <w:b w:val="1"/>
              </w:rPr>
            </w:pPr>
            <w:r w:rsidDel="00000000" w:rsidR="00000000" w:rsidRPr="00000000">
              <w:rPr>
                <w:b w:val="1"/>
                <w:rtl w:val="0"/>
              </w:rPr>
              <w:t xml:space="preserve">Code for America Summit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ind w:left="0" w:firstLine="0"/>
              <w:jc w:val="right"/>
              <w:rPr/>
            </w:pPr>
            <w:r w:rsidDel="00000000" w:rsidR="00000000" w:rsidRPr="00000000">
              <w:rPr>
                <w:rtl w:val="0"/>
              </w:rPr>
              <w:t xml:space="preserve">5/1/26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ind w:left="0" w:firstLine="0"/>
              <w:jc w:val="right"/>
              <w:rPr/>
            </w:pPr>
            <w:r w:rsidDel="00000000" w:rsidR="00000000" w:rsidRPr="00000000">
              <w:rPr>
                <w:rtl w:val="0"/>
              </w:rPr>
              <w:t xml:space="preserve">5/3/26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ind w:left="0" w:firstLine="0"/>
              <w:rPr/>
            </w:pPr>
            <w:r w:rsidDel="00000000" w:rsidR="00000000" w:rsidRPr="00000000">
              <w:rPr>
                <w:rtl w:val="0"/>
              </w:rPr>
              <w:t xml:space="preserve">Chicago IL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ind w:left="0" w:firstLine="0"/>
              <w:jc w:val="right"/>
              <w:rPr/>
            </w:pPr>
            <w:r w:rsidDel="00000000" w:rsidR="00000000" w:rsidRPr="00000000">
              <w:rPr>
                <w:rtl w:val="0"/>
              </w:rPr>
              <w:t xml:space="preserve">$899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ind w:left="0" w:firstLine="0"/>
              <w:jc w:val="right"/>
              <w:rPr/>
            </w:pPr>
            <w:r w:rsidDel="00000000" w:rsidR="00000000" w:rsidRPr="00000000">
              <w:rPr>
                <w:rtl w:val="0"/>
              </w:rPr>
              <w:t xml:space="preserve">$673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ind w:left="0" w:firstLine="0"/>
              <w:jc w:val="right"/>
              <w:rPr/>
            </w:pPr>
            <w:r w:rsidDel="00000000" w:rsidR="00000000" w:rsidRPr="00000000">
              <w:rPr>
                <w:rtl w:val="0"/>
              </w:rPr>
              <w:t xml:space="preserve">$163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ind w:left="0" w:firstLine="0"/>
              <w:jc w:val="right"/>
              <w:rPr/>
            </w:pPr>
            <w:r w:rsidDel="00000000" w:rsidR="00000000" w:rsidRPr="00000000">
              <w:rPr>
                <w:rtl w:val="0"/>
              </w:rPr>
              <w:t xml:space="preserve">$1,735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ind w:left="0" w:firstLine="0"/>
              <w:jc w:val="right"/>
              <w:rPr/>
            </w:pPr>
            <w:r w:rsidDel="00000000" w:rsidR="00000000" w:rsidRPr="00000000">
              <w:rPr>
                <w:rtl w:val="0"/>
              </w:rPr>
              <w:t xml:space="preserve">$3,470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ind w:left="0" w:firstLine="0"/>
              <w:jc w:val="right"/>
              <w:rPr/>
            </w:pPr>
            <w:r w:rsidDel="00000000" w:rsidR="00000000" w:rsidRPr="00000000">
              <w:rPr>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ind w:left="0" w:firstLine="0"/>
              <w:jc w:val="right"/>
              <w:rPr/>
            </w:pPr>
            <w:r w:rsidDel="00000000" w:rsidR="00000000" w:rsidRPr="00000000">
              <w:rPr>
                <w:rtl w:val="0"/>
              </w:rPr>
              <w:t xml:space="preserve">$3,470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ind w:left="0" w:firstLine="0"/>
              <w:rPr>
                <w:b w:val="1"/>
              </w:rPr>
            </w:pPr>
            <w:r w:rsidDel="00000000" w:rsidR="00000000" w:rsidRPr="00000000">
              <w:rPr>
                <w:b w:val="1"/>
                <w:rtl w:val="0"/>
              </w:rPr>
              <w:t xml:space="preserve">SciPy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ind w:left="0" w:firstLine="0"/>
              <w:jc w:val="right"/>
              <w:rPr/>
            </w:pPr>
            <w:r w:rsidDel="00000000" w:rsidR="00000000" w:rsidRPr="00000000">
              <w:rPr>
                <w:rtl w:val="0"/>
              </w:rPr>
              <w:t xml:space="preserve">7/7/26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ind w:left="0" w:firstLine="0"/>
              <w:jc w:val="right"/>
              <w:rPr/>
            </w:pPr>
            <w:r w:rsidDel="00000000" w:rsidR="00000000" w:rsidRPr="00000000">
              <w:rPr>
                <w:rtl w:val="0"/>
              </w:rPr>
              <w:t xml:space="preserve">7/13/26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ind w:left="0" w:firstLine="0"/>
              <w:rPr/>
            </w:pPr>
            <w:r w:rsidDel="00000000" w:rsidR="00000000" w:rsidRPr="00000000">
              <w:rPr>
                <w:rtl w:val="0"/>
              </w:rPr>
              <w:t xml:space="preserve">Tacoma WA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ind w:left="0" w:firstLine="0"/>
              <w:jc w:val="right"/>
              <w:rPr/>
            </w:pPr>
            <w:r w:rsidDel="00000000" w:rsidR="00000000" w:rsidRPr="00000000">
              <w:rPr>
                <w:rtl w:val="0"/>
              </w:rPr>
              <w:t xml:space="preserve">$1,150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ind w:left="0" w:firstLine="0"/>
              <w:jc w:val="right"/>
              <w:rPr/>
            </w:pPr>
            <w:r w:rsidDel="00000000" w:rsidR="00000000" w:rsidRPr="00000000">
              <w:rPr>
                <w:rtl w:val="0"/>
              </w:rPr>
              <w:t xml:space="preserve">$1,375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ind w:left="0" w:firstLine="0"/>
              <w:jc w:val="right"/>
              <w:rPr/>
            </w:pPr>
            <w:r w:rsidDel="00000000" w:rsidR="00000000" w:rsidRPr="00000000">
              <w:rPr>
                <w:rtl w:val="0"/>
              </w:rPr>
              <w:t xml:space="preserve">$439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ind w:left="0" w:firstLine="0"/>
              <w:jc w:val="right"/>
              <w:rPr/>
            </w:pPr>
            <w:r w:rsidDel="00000000" w:rsidR="00000000" w:rsidRPr="00000000">
              <w:rPr>
                <w:rtl w:val="0"/>
              </w:rPr>
              <w:t xml:space="preserve">$2,964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ind w:left="0" w:firstLine="0"/>
              <w:jc w:val="right"/>
              <w:rPr/>
            </w:pPr>
            <w:r w:rsidDel="00000000" w:rsidR="00000000" w:rsidRPr="00000000">
              <w:rPr>
                <w:rtl w:val="0"/>
              </w:rPr>
              <w:t xml:space="preserve">$5,928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ind w:left="0" w:firstLine="0"/>
              <w:jc w:val="right"/>
              <w:rPr/>
            </w:pPr>
            <w:r w:rsidDel="00000000" w:rsidR="00000000" w:rsidRPr="00000000">
              <w:rPr>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ind w:left="0" w:firstLine="0"/>
              <w:jc w:val="right"/>
              <w:rPr/>
            </w:pPr>
            <w:r w:rsidDel="00000000" w:rsidR="00000000" w:rsidRPr="00000000">
              <w:rPr>
                <w:rtl w:val="0"/>
              </w:rPr>
              <w:t xml:space="preserve">$5,928</w:t>
            </w:r>
          </w:p>
        </w:tc>
      </w:tr>
      <w:tr>
        <w:trPr>
          <w:cantSplit w:val="0"/>
          <w:trHeight w:val="1005"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ind w:left="0" w:firstLine="0"/>
              <w:rPr>
                <w:b w:val="1"/>
              </w:rPr>
            </w:pPr>
            <w:r w:rsidDel="00000000" w:rsidR="00000000" w:rsidRPr="00000000">
              <w:rPr>
                <w:b w:val="1"/>
                <w:rtl w:val="0"/>
              </w:rPr>
              <w:t xml:space="preserve">NCSL Legislative Summit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ind w:left="0" w:firstLine="0"/>
              <w:jc w:val="right"/>
              <w:rPr/>
            </w:pPr>
            <w:r w:rsidDel="00000000" w:rsidR="00000000" w:rsidRPr="00000000">
              <w:rPr>
                <w:rtl w:val="0"/>
              </w:rPr>
              <w:t xml:space="preserve">8/3/25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ind w:left="0" w:firstLine="0"/>
              <w:jc w:val="right"/>
              <w:rPr/>
            </w:pPr>
            <w:r w:rsidDel="00000000" w:rsidR="00000000" w:rsidRPr="00000000">
              <w:rPr>
                <w:rtl w:val="0"/>
              </w:rPr>
              <w:t xml:space="preserve">8/7/25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ind w:left="0" w:firstLine="0"/>
              <w:rPr/>
            </w:pPr>
            <w:r w:rsidDel="00000000" w:rsidR="00000000" w:rsidRPr="00000000">
              <w:rPr>
                <w:rtl w:val="0"/>
              </w:rPr>
              <w:t xml:space="preserve">Boston MA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ind w:left="0" w:firstLine="0"/>
              <w:jc w:val="right"/>
              <w:rPr/>
            </w:pPr>
            <w:r w:rsidDel="00000000" w:rsidR="00000000" w:rsidRPr="00000000">
              <w:rPr>
                <w:rtl w:val="0"/>
              </w:rPr>
              <w:t xml:space="preserve">$1,365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ind w:left="0" w:firstLine="0"/>
              <w:jc w:val="right"/>
              <w:rPr/>
            </w:pPr>
            <w:r w:rsidDel="00000000" w:rsidR="00000000" w:rsidRPr="00000000">
              <w:rPr>
                <w:rtl w:val="0"/>
              </w:rPr>
              <w:t xml:space="preserve">$1,578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ind w:left="0" w:firstLine="0"/>
              <w:jc w:val="right"/>
              <w:rPr/>
            </w:pPr>
            <w:r w:rsidDel="00000000" w:rsidR="00000000" w:rsidRPr="00000000">
              <w:rPr>
                <w:rtl w:val="0"/>
              </w:rPr>
              <w:t xml:space="preserve">$224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ind w:left="0" w:firstLine="0"/>
              <w:jc w:val="right"/>
              <w:rPr/>
            </w:pPr>
            <w:r w:rsidDel="00000000" w:rsidR="00000000" w:rsidRPr="00000000">
              <w:rPr>
                <w:rtl w:val="0"/>
              </w:rPr>
              <w:t xml:space="preserve">$3,167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ind w:left="0" w:firstLine="0"/>
              <w:jc w:val="right"/>
              <w:rPr/>
            </w:pPr>
            <w:r w:rsidDel="00000000" w:rsidR="00000000" w:rsidRPr="00000000">
              <w:rPr>
                <w:rtl w:val="0"/>
              </w:rPr>
              <w:t xml:space="preserve">$6,334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ind w:left="0" w:firstLine="0"/>
              <w:jc w:val="right"/>
              <w:rPr/>
            </w:pPr>
            <w:r w:rsidDel="00000000" w:rsidR="00000000" w:rsidRPr="00000000">
              <w:rPr>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ind w:left="0" w:firstLine="0"/>
              <w:jc w:val="right"/>
              <w:rPr/>
            </w:pPr>
            <w:r w:rsidDel="00000000" w:rsidR="00000000" w:rsidRPr="00000000">
              <w:rPr>
                <w:rtl w:val="0"/>
              </w:rPr>
              <w:t xml:space="preserve">$6,334</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ind w:left="0" w:firstLine="0"/>
              <w:rPr>
                <w:b w:val="1"/>
              </w:rPr>
            </w:pPr>
            <w:r w:rsidDel="00000000" w:rsidR="00000000" w:rsidRPr="00000000">
              <w:rPr>
                <w:b w:val="1"/>
                <w:rtl w:val="0"/>
              </w:rPr>
              <w:t xml:space="preserve">ASSA 2026 Annual Meeting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ind w:left="0" w:firstLine="0"/>
              <w:jc w:val="right"/>
              <w:rPr/>
            </w:pPr>
            <w:r w:rsidDel="00000000" w:rsidR="00000000" w:rsidRPr="00000000">
              <w:rPr>
                <w:rtl w:val="0"/>
              </w:rPr>
              <w:t xml:space="preserve">1/3/25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ind w:left="0" w:firstLine="0"/>
              <w:jc w:val="right"/>
              <w:rPr/>
            </w:pPr>
            <w:r w:rsidDel="00000000" w:rsidR="00000000" w:rsidRPr="00000000">
              <w:rPr>
                <w:rtl w:val="0"/>
              </w:rPr>
              <w:t xml:space="preserve">1/5/25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ind w:left="0" w:firstLine="0"/>
              <w:rPr/>
            </w:pPr>
            <w:r w:rsidDel="00000000" w:rsidR="00000000" w:rsidRPr="00000000">
              <w:rPr>
                <w:rtl w:val="0"/>
              </w:rPr>
              <w:t xml:space="preserve">Philadelphia PA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ind w:left="0" w:firstLine="0"/>
              <w:jc w:val="right"/>
              <w:rPr/>
            </w:pPr>
            <w:r w:rsidDel="00000000" w:rsidR="00000000" w:rsidRPr="00000000">
              <w:rPr>
                <w:rtl w:val="0"/>
              </w:rPr>
              <w:t xml:space="preserve">$290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ind w:left="0" w:firstLine="0"/>
              <w:jc w:val="right"/>
              <w:rPr/>
            </w:pPr>
            <w:r w:rsidDel="00000000" w:rsidR="00000000" w:rsidRPr="00000000">
              <w:rPr>
                <w:rtl w:val="0"/>
              </w:rPr>
              <w:t xml:space="preserve">$1,038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ind w:left="0" w:firstLine="0"/>
              <w:jc w:val="right"/>
              <w:rPr/>
            </w:pPr>
            <w:r w:rsidDel="00000000" w:rsidR="00000000" w:rsidRPr="00000000">
              <w:rPr>
                <w:rtl w:val="0"/>
              </w:rPr>
              <w:t xml:space="preserve">$186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ind w:left="0" w:firstLine="0"/>
              <w:jc w:val="right"/>
              <w:rPr/>
            </w:pPr>
            <w:r w:rsidDel="00000000" w:rsidR="00000000" w:rsidRPr="00000000">
              <w:rPr>
                <w:rtl w:val="0"/>
              </w:rPr>
              <w:t xml:space="preserve">$1,514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ind w:left="0" w:firstLine="0"/>
              <w:jc w:val="right"/>
              <w:rPr/>
            </w:pPr>
            <w:r w:rsidDel="00000000" w:rsidR="00000000" w:rsidRPr="00000000">
              <w:rPr>
                <w:rtl w:val="0"/>
              </w:rPr>
              <w:t xml:space="preserve">$3,028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ind w:left="0" w:firstLine="0"/>
              <w:jc w:val="right"/>
              <w:rPr/>
            </w:pPr>
            <w:r w:rsidDel="00000000" w:rsidR="00000000" w:rsidRPr="00000000">
              <w:rPr>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ind w:left="0" w:firstLine="0"/>
              <w:jc w:val="right"/>
              <w:rPr/>
            </w:pPr>
            <w:r w:rsidDel="00000000" w:rsidR="00000000" w:rsidRPr="00000000">
              <w:rPr>
                <w:rtl w:val="0"/>
              </w:rPr>
              <w:t xml:space="preserve">$3,028</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ind w:left="0" w:firstLine="0"/>
              <w:rPr>
                <w:b w:val="1"/>
              </w:rPr>
            </w:pPr>
            <w:r w:rsidDel="00000000" w:rsidR="00000000" w:rsidRPr="00000000">
              <w:rPr>
                <w:b w:val="1"/>
                <w:rtl w:val="0"/>
              </w:rPr>
              <w:t xml:space="preserve">Hosted Community event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ind w:left="0" w:firstLine="0"/>
              <w:jc w:val="right"/>
              <w:rPr/>
            </w:pPr>
            <w:r w:rsidDel="00000000" w:rsidR="00000000" w:rsidRPr="00000000">
              <w:rPr>
                <w:rtl w:val="0"/>
              </w:rPr>
              <w:t xml:space="preserve">1/4/26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ind w:left="0" w:firstLine="0"/>
              <w:jc w:val="right"/>
              <w:rPr/>
            </w:pPr>
            <w:r w:rsidDel="00000000" w:rsidR="00000000" w:rsidRPr="00000000">
              <w:rPr>
                <w:rtl w:val="0"/>
              </w:rPr>
              <w:t xml:space="preserve">1/6/26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ind w:left="0" w:firstLine="0"/>
              <w:rPr/>
            </w:pPr>
            <w:r w:rsidDel="00000000" w:rsidR="00000000" w:rsidRPr="00000000">
              <w:rPr>
                <w:rtl w:val="0"/>
              </w:rPr>
              <w:t xml:space="preserve">Austin TX</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ind w:left="0" w:firstLine="0"/>
              <w:jc w:val="right"/>
              <w:rPr/>
            </w:pPr>
            <w:r w:rsidDel="00000000" w:rsidR="00000000" w:rsidRPr="00000000">
              <w:rPr>
                <w:rtl w:val="0"/>
              </w:rPr>
              <w:t xml:space="preserve">$0</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ind w:left="0" w:firstLine="0"/>
              <w:jc w:val="right"/>
              <w:rPr/>
            </w:pPr>
            <w:r w:rsidDel="00000000" w:rsidR="00000000" w:rsidRPr="00000000">
              <w:rPr>
                <w:color w:val="212529"/>
                <w:rtl w:val="0"/>
              </w:rPr>
              <w:t xml:space="preserve">$1,038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ind w:left="0" w:firstLine="0"/>
              <w:jc w:val="right"/>
              <w:rPr/>
            </w:pPr>
            <w:r w:rsidDel="00000000" w:rsidR="00000000" w:rsidRPr="00000000">
              <w:rPr>
                <w:rtl w:val="0"/>
              </w:rPr>
              <w:t xml:space="preserve">$483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ind w:left="0" w:firstLine="0"/>
              <w:jc w:val="right"/>
              <w:rPr/>
            </w:pPr>
            <w:r w:rsidDel="00000000" w:rsidR="00000000" w:rsidRPr="00000000">
              <w:rPr>
                <w:rtl w:val="0"/>
              </w:rPr>
              <w:t xml:space="preserve">$1,521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ind w:left="0" w:firstLine="0"/>
              <w:jc w:val="right"/>
              <w:rPr/>
            </w:pPr>
            <w:r w:rsidDel="00000000" w:rsidR="00000000" w:rsidRPr="00000000">
              <w:rPr>
                <w:rtl w:val="0"/>
              </w:rPr>
              <w:t xml:space="preserve">$3,042</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ind w:left="0" w:firstLine="0"/>
              <w:jc w:val="right"/>
              <w:rPr/>
            </w:pPr>
            <w:r w:rsidDel="00000000" w:rsidR="00000000" w:rsidRPr="00000000">
              <w:rPr>
                <w:color w:val="212529"/>
                <w:rtl w:val="0"/>
              </w:rPr>
              <w:t xml:space="preserve">$1,055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ind w:left="0" w:firstLine="0"/>
              <w:jc w:val="right"/>
              <w:rPr/>
            </w:pPr>
            <w:r w:rsidDel="00000000" w:rsidR="00000000" w:rsidRPr="00000000">
              <w:rPr>
                <w:rtl w:val="0"/>
              </w:rPr>
              <w:t xml:space="preserve">$4,097</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ind w:left="0" w:firstLine="0"/>
              <w:rPr>
                <w:b w:val="1"/>
              </w:rPr>
            </w:pPr>
            <w:r w:rsidDel="00000000" w:rsidR="00000000" w:rsidRPr="00000000">
              <w:rPr>
                <w:b w:val="1"/>
                <w:rtl w:val="0"/>
              </w:rPr>
              <w:t xml:space="preserve">Hosted Community event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ind w:left="0" w:firstLine="0"/>
              <w:jc w:val="right"/>
              <w:rPr/>
            </w:pPr>
            <w:r w:rsidDel="00000000" w:rsidR="00000000" w:rsidRPr="00000000">
              <w:rPr>
                <w:rtl w:val="0"/>
              </w:rPr>
              <w:t xml:space="preserve">1/11/26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ind w:left="0" w:firstLine="0"/>
              <w:jc w:val="right"/>
              <w:rPr/>
            </w:pPr>
            <w:r w:rsidDel="00000000" w:rsidR="00000000" w:rsidRPr="00000000">
              <w:rPr>
                <w:rtl w:val="0"/>
              </w:rPr>
              <w:t xml:space="preserve">1/13/26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ind w:left="0" w:firstLine="0"/>
              <w:rPr/>
            </w:pPr>
            <w:r w:rsidDel="00000000" w:rsidR="00000000" w:rsidRPr="00000000">
              <w:rPr>
                <w:rtl w:val="0"/>
              </w:rPr>
              <w:t xml:space="preserve">Denver CO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ind w:left="0" w:firstLine="0"/>
              <w:jc w:val="right"/>
              <w:rPr/>
            </w:pPr>
            <w:r w:rsidDel="00000000" w:rsidR="00000000" w:rsidRPr="00000000">
              <w:rPr>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ind w:left="0" w:firstLine="0"/>
              <w:jc w:val="right"/>
              <w:rPr/>
            </w:pPr>
            <w:r w:rsidDel="00000000" w:rsidR="00000000" w:rsidRPr="00000000">
              <w:rPr>
                <w:rtl w:val="0"/>
              </w:rPr>
              <w:t xml:space="preserve">$560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ind w:left="0" w:firstLine="0"/>
              <w:jc w:val="right"/>
              <w:rPr/>
            </w:pPr>
            <w:r w:rsidDel="00000000" w:rsidR="00000000" w:rsidRPr="00000000">
              <w:rPr>
                <w:rtl w:val="0"/>
              </w:rPr>
              <w:t xml:space="preserve">$303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ind w:left="0" w:firstLine="0"/>
              <w:jc w:val="right"/>
              <w:rPr/>
            </w:pPr>
            <w:r w:rsidDel="00000000" w:rsidR="00000000" w:rsidRPr="00000000">
              <w:rPr>
                <w:rtl w:val="0"/>
              </w:rPr>
              <w:t xml:space="preserve">$863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ind w:left="0" w:firstLine="0"/>
              <w:jc w:val="right"/>
              <w:rPr/>
            </w:pPr>
            <w:r w:rsidDel="00000000" w:rsidR="00000000" w:rsidRPr="00000000">
              <w:rPr>
                <w:rtl w:val="0"/>
              </w:rPr>
              <w:t xml:space="preserve">$1,726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ind w:left="0" w:firstLine="0"/>
              <w:jc w:val="right"/>
              <w:rPr/>
            </w:pPr>
            <w:r w:rsidDel="00000000" w:rsidR="00000000" w:rsidRPr="00000000">
              <w:rPr>
                <w:rtl w:val="0"/>
              </w:rPr>
              <w:t xml:space="preserve">$750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ind w:left="0" w:firstLine="0"/>
              <w:jc w:val="right"/>
              <w:rPr/>
            </w:pPr>
            <w:r w:rsidDel="00000000" w:rsidR="00000000" w:rsidRPr="00000000">
              <w:rPr>
                <w:rtl w:val="0"/>
              </w:rPr>
              <w:t xml:space="preserve">$2,476</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ind w:left="0" w:firstLine="0"/>
              <w:rPr>
                <w:b w:val="1"/>
              </w:rPr>
            </w:pPr>
            <w:r w:rsidDel="00000000" w:rsidR="00000000" w:rsidRPr="00000000">
              <w:rPr>
                <w:b w:val="1"/>
                <w:rtl w:val="0"/>
              </w:rPr>
              <w:t xml:space="preserve">Hosted Community event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ind w:left="0" w:firstLine="0"/>
              <w:jc w:val="right"/>
              <w:rPr/>
            </w:pPr>
            <w:r w:rsidDel="00000000" w:rsidR="00000000" w:rsidRPr="00000000">
              <w:rPr>
                <w:rtl w:val="0"/>
              </w:rPr>
              <w:t xml:space="preserve">4/1/26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ind w:left="0" w:firstLine="0"/>
              <w:jc w:val="right"/>
              <w:rPr/>
            </w:pPr>
            <w:r w:rsidDel="00000000" w:rsidR="00000000" w:rsidRPr="00000000">
              <w:rPr>
                <w:rtl w:val="0"/>
              </w:rPr>
              <w:t xml:space="preserve">4/3/26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ind w:left="0" w:firstLine="0"/>
              <w:rPr/>
            </w:pPr>
            <w:r w:rsidDel="00000000" w:rsidR="00000000" w:rsidRPr="00000000">
              <w:rPr>
                <w:rtl w:val="0"/>
              </w:rPr>
              <w:t xml:space="preserve">Los Angeles CA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ind w:left="0" w:firstLine="0"/>
              <w:jc w:val="right"/>
              <w:rPr/>
            </w:pPr>
            <w:r w:rsidDel="00000000" w:rsidR="00000000" w:rsidRPr="00000000">
              <w:rPr>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ind w:left="0" w:firstLine="0"/>
              <w:jc w:val="right"/>
              <w:rPr/>
            </w:pPr>
            <w:r w:rsidDel="00000000" w:rsidR="00000000" w:rsidRPr="00000000">
              <w:rPr>
                <w:rtl w:val="0"/>
              </w:rPr>
              <w:t xml:space="preserve">$874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ind w:left="0" w:firstLine="0"/>
              <w:jc w:val="right"/>
              <w:rPr/>
            </w:pPr>
            <w:r w:rsidDel="00000000" w:rsidR="00000000" w:rsidRPr="00000000">
              <w:rPr>
                <w:rtl w:val="0"/>
              </w:rPr>
              <w:t xml:space="preserve">$417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ind w:left="0" w:firstLine="0"/>
              <w:jc w:val="right"/>
              <w:rPr/>
            </w:pPr>
            <w:r w:rsidDel="00000000" w:rsidR="00000000" w:rsidRPr="00000000">
              <w:rPr>
                <w:rtl w:val="0"/>
              </w:rPr>
              <w:t xml:space="preserve">$1,291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ind w:left="0" w:firstLine="0"/>
              <w:jc w:val="right"/>
              <w:rPr/>
            </w:pPr>
            <w:r w:rsidDel="00000000" w:rsidR="00000000" w:rsidRPr="00000000">
              <w:rPr>
                <w:rtl w:val="0"/>
              </w:rPr>
              <w:t xml:space="preserve">$2,582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ind w:left="0" w:firstLine="0"/>
              <w:jc w:val="right"/>
              <w:rPr/>
            </w:pPr>
            <w:r w:rsidDel="00000000" w:rsidR="00000000" w:rsidRPr="00000000">
              <w:rPr>
                <w:rtl w:val="0"/>
              </w:rPr>
              <w:t xml:space="preserve">$1,350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ind w:left="0" w:firstLine="0"/>
              <w:jc w:val="right"/>
              <w:rPr/>
            </w:pPr>
            <w:r w:rsidDel="00000000" w:rsidR="00000000" w:rsidRPr="00000000">
              <w:rPr>
                <w:rtl w:val="0"/>
              </w:rPr>
              <w:t xml:space="preserve">$3,932</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ind w:left="0" w:firstLine="0"/>
              <w:rPr>
                <w:b w:val="1"/>
              </w:rPr>
            </w:pPr>
            <w:r w:rsidDel="00000000" w:rsidR="00000000" w:rsidRPr="00000000">
              <w:rPr>
                <w:b w:val="1"/>
                <w:rtl w:val="0"/>
              </w:rPr>
              <w:t xml:space="preserve">Hosted Community event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ind w:left="0" w:firstLine="0"/>
              <w:jc w:val="right"/>
              <w:rPr/>
            </w:pPr>
            <w:r w:rsidDel="00000000" w:rsidR="00000000" w:rsidRPr="00000000">
              <w:rPr>
                <w:rtl w:val="0"/>
              </w:rPr>
              <w:t xml:space="preserve">2/8/26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ind w:left="0" w:firstLine="0"/>
              <w:jc w:val="right"/>
              <w:rPr/>
            </w:pPr>
            <w:r w:rsidDel="00000000" w:rsidR="00000000" w:rsidRPr="00000000">
              <w:rPr>
                <w:rtl w:val="0"/>
              </w:rPr>
              <w:t xml:space="preserve">2/11/26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ind w:left="0" w:firstLine="0"/>
              <w:rPr/>
            </w:pPr>
            <w:r w:rsidDel="00000000" w:rsidR="00000000" w:rsidRPr="00000000">
              <w:rPr>
                <w:rtl w:val="0"/>
              </w:rPr>
              <w:t xml:space="preserve">San Francisco CA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ind w:left="0" w:firstLine="0"/>
              <w:jc w:val="right"/>
              <w:rPr/>
            </w:pPr>
            <w:r w:rsidDel="00000000" w:rsidR="00000000" w:rsidRPr="00000000">
              <w:rPr>
                <w:rtl w:val="0"/>
              </w:rPr>
              <w:t xml:space="preserve">$0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ind w:left="0" w:firstLine="0"/>
              <w:jc w:val="right"/>
              <w:rPr/>
            </w:pPr>
            <w:r w:rsidDel="00000000" w:rsidR="00000000" w:rsidRPr="00000000">
              <w:rPr>
                <w:rtl w:val="0"/>
              </w:rPr>
              <w:t xml:space="preserve">$1,099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ind w:left="0" w:firstLine="0"/>
              <w:jc w:val="right"/>
              <w:rPr/>
            </w:pPr>
            <w:r w:rsidDel="00000000" w:rsidR="00000000" w:rsidRPr="00000000">
              <w:rPr>
                <w:rtl w:val="0"/>
              </w:rPr>
              <w:t xml:space="preserve">$357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ind w:left="0" w:firstLine="0"/>
              <w:jc w:val="right"/>
              <w:rPr/>
            </w:pPr>
            <w:r w:rsidDel="00000000" w:rsidR="00000000" w:rsidRPr="00000000">
              <w:rPr>
                <w:rtl w:val="0"/>
              </w:rPr>
              <w:t xml:space="preserve">$1,456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ind w:left="0" w:firstLine="0"/>
              <w:jc w:val="right"/>
              <w:rPr/>
            </w:pPr>
            <w:r w:rsidDel="00000000" w:rsidR="00000000" w:rsidRPr="00000000">
              <w:rPr>
                <w:rtl w:val="0"/>
              </w:rPr>
              <w:t xml:space="preserve">$2,912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ind w:left="0" w:firstLine="0"/>
              <w:jc w:val="right"/>
              <w:rPr/>
            </w:pPr>
            <w:r w:rsidDel="00000000" w:rsidR="00000000" w:rsidRPr="00000000">
              <w:rPr>
                <w:rtl w:val="0"/>
              </w:rPr>
              <w:t xml:space="preserve">$440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ind w:left="0" w:firstLine="0"/>
              <w:jc w:val="right"/>
              <w:rPr/>
            </w:pPr>
            <w:r w:rsidDel="00000000" w:rsidR="00000000" w:rsidRPr="00000000">
              <w:rPr>
                <w:rtl w:val="0"/>
              </w:rPr>
              <w:t xml:space="preserve">$3,352</w:t>
            </w:r>
          </w:p>
        </w:tc>
      </w:tr>
    </w:tbl>
    <w:p w:rsidR="00000000" w:rsidDel="00000000" w:rsidP="00000000" w:rsidRDefault="00000000" w:rsidRPr="00000000" w14:paraId="00000089">
      <w:pPr>
        <w:spacing w:after="0" w:line="276" w:lineRule="auto"/>
        <w:ind w:left="0" w:firstLine="0"/>
        <w:rPr/>
      </w:pPr>
      <w:r w:rsidDel="00000000" w:rsidR="00000000" w:rsidRPr="00000000">
        <w:rPr>
          <w:rtl w:val="0"/>
        </w:rPr>
      </w:r>
    </w:p>
    <w:p w:rsidR="00000000" w:rsidDel="00000000" w:rsidP="00000000" w:rsidRDefault="00000000" w:rsidRPr="00000000" w14:paraId="0000008A">
      <w:pPr>
        <w:pStyle w:val="Heading1"/>
        <w:rPr/>
      </w:pPr>
      <w:bookmarkStart w:colFirst="0" w:colLast="0" w:name="_4gbo37w6es8o" w:id="5"/>
      <w:bookmarkEnd w:id="5"/>
      <w:r w:rsidDel="00000000" w:rsidR="00000000" w:rsidRPr="00000000">
        <w:rPr>
          <w:rtl w:val="0"/>
        </w:rPr>
        <w:t xml:space="preserve">G. Other Direct Costs ($3,690)</w:t>
      </w:r>
    </w:p>
    <w:p w:rsidR="00000000" w:rsidDel="00000000" w:rsidP="00000000" w:rsidRDefault="00000000" w:rsidRPr="00000000" w14:paraId="0000008B">
      <w:pPr>
        <w:rPr/>
      </w:pPr>
      <w:r w:rsidDel="00000000" w:rsidR="00000000" w:rsidRPr="00000000">
        <w:rPr>
          <w:b w:val="1"/>
          <w:rtl w:val="0"/>
        </w:rPr>
        <w:t xml:space="preserve">Consultants: </w:t>
      </w:r>
      <w:r w:rsidDel="00000000" w:rsidR="00000000" w:rsidRPr="00000000">
        <w:rPr>
          <w:rtl w:val="0"/>
        </w:rPr>
        <w:t xml:space="preserve">We will engage Dr. Dan Feenberg for 41 hours of I-Corps training at a total cost of $3,690. Appendix 1 in our accompanying budget impact statement shows his letter of collaboration.</w:t>
      </w:r>
      <w:r w:rsidDel="00000000" w:rsidR="00000000" w:rsidRPr="00000000">
        <w:rPr>
          <w:rtl w:val="0"/>
        </w:rPr>
      </w:r>
    </w:p>
    <w:p w:rsidR="00000000" w:rsidDel="00000000" w:rsidP="00000000" w:rsidRDefault="00000000" w:rsidRPr="00000000" w14:paraId="0000008C">
      <w:pPr>
        <w:pStyle w:val="Heading1"/>
        <w:rPr/>
      </w:pPr>
      <w:bookmarkStart w:colFirst="0" w:colLast="0" w:name="_evapuz80kizq" w:id="6"/>
      <w:bookmarkEnd w:id="6"/>
      <w:r w:rsidDel="00000000" w:rsidR="00000000" w:rsidRPr="00000000">
        <w:rPr>
          <w:rtl w:val="0"/>
        </w:rPr>
        <w:t xml:space="preserve">I. Indirect Costs ($39,127)</w:t>
      </w:r>
    </w:p>
    <w:p w:rsidR="00000000" w:rsidDel="00000000" w:rsidP="00000000" w:rsidRDefault="00000000" w:rsidRPr="00000000" w14:paraId="0000008D">
      <w:pPr>
        <w:rPr/>
      </w:pPr>
      <w:r w:rsidDel="00000000" w:rsidR="00000000" w:rsidRPr="00000000">
        <w:rPr>
          <w:rtl w:val="0"/>
        </w:rPr>
        <w:t xml:space="preserve">We apply the standard 15% indirect rate to our $260,847 of total direct costs, </w:t>
      </w:r>
      <w:r w:rsidDel="00000000" w:rsidR="00000000" w:rsidRPr="00000000">
        <w:rPr>
          <w:rtl w:val="0"/>
        </w:rPr>
        <w:t xml:space="preserve">shown in Table 2.</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Table 2: Direct costs.</w:t>
      </w:r>
    </w:p>
    <w:tbl>
      <w:tblPr>
        <w:tblStyle w:val="Table2"/>
        <w:tblW w:w="9273.6" w:type="dxa"/>
        <w:jc w:val="left"/>
        <w:tblInd w:w="8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6.8"/>
        <w:gridCol w:w="4636.8"/>
        <w:tblGridChange w:id="0">
          <w:tblGrid>
            <w:gridCol w:w="4636.8"/>
            <w:gridCol w:w="463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Direct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Senior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Other Personnel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Fringe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$35,757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Other Direct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$260,847</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m12jnvqh51u2" w:id="7"/>
      <w:bookmarkEnd w:id="7"/>
      <w:r w:rsidDel="00000000" w:rsidR="00000000" w:rsidRPr="00000000">
        <w:rPr>
          <w:rtl w:val="0"/>
        </w:rPr>
        <w:t xml:space="preserve">Total Budget: $299,974</w:t>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spacing w:after="120" w:line="288" w:lineRule="auto"/>
        <w:ind w:left="86.4"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ls.gov/oes/current/oes151252.htm" TargetMode="External"/><Relationship Id="rId10" Type="http://schemas.openxmlformats.org/officeDocument/2006/relationships/hyperlink" Target="https://oews-explorer.streamlit.app" TargetMode="External"/><Relationship Id="rId13" Type="http://schemas.openxmlformats.org/officeDocument/2006/relationships/hyperlink" Target="https://oews-explorer.streamlit.app" TargetMode="External"/><Relationship Id="rId12" Type="http://schemas.openxmlformats.org/officeDocument/2006/relationships/hyperlink" Target="https://www.bls.gov/oes/current/oes151252.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s.gov/oes/2023/may/oes113021.ht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bls.gov/oes/current/oes193011.htm" TargetMode="External"/><Relationship Id="rId7" Type="http://schemas.openxmlformats.org/officeDocument/2006/relationships/hyperlink" Target="https://oews-explorer.streamlit.app" TargetMode="External"/><Relationship Id="rId8" Type="http://schemas.openxmlformats.org/officeDocument/2006/relationships/hyperlink" Target="https://www.bls.gov/oes/2023/may/oes11302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