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52.00000000000003" w:lineRule="auto"/>
        <w:ind w:left="0" w:firstLine="0"/>
        <w:rPr>
          <w:b w:val="1"/>
          <w:sz w:val="46"/>
          <w:szCs w:val="46"/>
        </w:rPr>
      </w:pPr>
      <w:bookmarkStart w:colFirst="0" w:colLast="0" w:name="_huq6dwcnqcb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Facilities, Equipment and Other Resources</w:t>
      </w:r>
    </w:p>
    <w:p w:rsidR="00000000" w:rsidDel="00000000" w:rsidP="00000000" w:rsidRDefault="00000000" w:rsidRPr="00000000" w14:paraId="00000002">
      <w:pPr>
        <w:spacing w:after="240" w:before="240" w:line="252.00000000000003" w:lineRule="auto"/>
        <w:ind w:left="0" w:firstLine="0"/>
        <w:rPr/>
      </w:pPr>
      <w:r w:rsidDel="00000000" w:rsidR="00000000" w:rsidRPr="00000000">
        <w:rPr>
          <w:rtl w:val="0"/>
        </w:rPr>
        <w:t xml:space="preserve">PolicyEngine will leverage the following resources to carry out the proposed work: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360" w:lineRule="auto"/>
        <w:rPr>
          <w:b w:val="1"/>
          <w:sz w:val="34"/>
          <w:szCs w:val="34"/>
        </w:rPr>
      </w:pPr>
      <w:bookmarkStart w:colFirst="0" w:colLast="0" w:name="_23b6wczhm9i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Computational Infrastructure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Cloud computing resources: PolicyEngine utilizes scalable cloud infrastructure to host its modeling platform, web application, and APIs. This includes virtual machines, databases, and storage systems necessary for development, testing, and production deployment.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Version control and collaboration tools: The project uses industry-standard tools such as Git for version control and GitHub for collaborative software development, issue tracking, and documentation.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Continuous integration/continuous deployment (CI/CD) pipelines: Automated testing and deployment infrastructure ensures code quality and facilitates rapid iteration.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before="360" w:lineRule="auto"/>
        <w:rPr>
          <w:b w:val="1"/>
          <w:sz w:val="34"/>
          <w:szCs w:val="34"/>
        </w:rPr>
      </w:pPr>
      <w:bookmarkStart w:colFirst="0" w:colLast="0" w:name="_88niadrzzxg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Software and Data Resources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Open-source codebase: PolicyEngine's existing codebase, including tax-benefit microsimulation models for the US and UK, provides a strong foundation for further development.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datasets: Curated microdata sets form the basis for policy simulations and impact analyses.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Third-party open-source libraries: PolicyEngine leverages a variety of open-source statistical, data science, and web development libraries.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before="360" w:lineRule="auto"/>
        <w:rPr>
          <w:b w:val="1"/>
          <w:sz w:val="34"/>
          <w:szCs w:val="34"/>
        </w:rPr>
      </w:pPr>
      <w:bookmarkStart w:colFirst="0" w:colLast="0" w:name="_g6dgyk1vv7z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Personnel Expertise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Core development team: A multidisciplinary team with expertise in economics, public policy, software engineering, and data science.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Open-source contributor network: A growing community of volunteer developers, economists, and policy experts who contribute to various aspects of the project.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Advisory network: Access to subject matter experts in academia, think tanks, and government agencies who provide guidance on model development and policy analysis.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before="360" w:lineRule="auto"/>
        <w:rPr>
          <w:b w:val="1"/>
          <w:sz w:val="34"/>
          <w:szCs w:val="34"/>
        </w:rPr>
      </w:pPr>
      <w:bookmarkStart w:colFirst="0" w:colLast="0" w:name="_5zdxrnebvqf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Organizational Resources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Nonprofit status: PolicyEngine operates under the fiscal sponsorship of the Policy Simulation Library Foundation, providing administrative and legal infrastructure.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Community engagement platforms: Slack workspace and other communication tools to facilitate collaboration among team members and the broader community.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252.00000000000003" w:lineRule="auto"/>
        <w:ind w:left="720" w:hanging="360"/>
        <w:rPr/>
      </w:pPr>
      <w:r w:rsidDel="00000000" w:rsidR="00000000" w:rsidRPr="00000000">
        <w:rPr>
          <w:rtl w:val="0"/>
        </w:rPr>
        <w:t xml:space="preserve">Project management tools: Software for task tracking, roadmap planning, and team coordination.</w:t>
      </w:r>
    </w:p>
    <w:p w:rsidR="00000000" w:rsidDel="00000000" w:rsidP="00000000" w:rsidRDefault="00000000" w:rsidRPr="00000000" w14:paraId="00000013">
      <w:pPr>
        <w:spacing w:after="240" w:before="240" w:line="252.00000000000003" w:lineRule="auto"/>
        <w:ind w:left="0" w:firstLine="0"/>
        <w:rPr/>
      </w:pPr>
      <w:r w:rsidDel="00000000" w:rsidR="00000000" w:rsidRPr="00000000">
        <w:rPr>
          <w:rtl w:val="0"/>
        </w:rPr>
        <w:t xml:space="preserve">PolicyEngine is committed to making these resources available for the successful execution of the proposed work. The organization's lean operational model and ability to leverage open-source contributions allow for efficient use of resources in pursuing its mission of democratizing access to policy analysis tools.</w:t>
      </w:r>
    </w:p>
    <w:p w:rsidR="00000000" w:rsidDel="00000000" w:rsidP="00000000" w:rsidRDefault="00000000" w:rsidRPr="00000000" w14:paraId="00000014">
      <w:pPr>
        <w:spacing w:after="80" w:before="80" w:line="252.00000000000003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after="120" w:line="288" w:lineRule="auto"/>
        <w:ind w:left="86.4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80" w:line="252.00000000000003" w:lineRule="auto"/>
      <w:ind w:left="0" w:firstLine="0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