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b1b1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Max Ghenis; PolicyEngine; PI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b1b1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Dan Feenberg; National Bureau of Economic Research; Funded Consultant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b1b1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Jason DeBacker; PSL Foundation; Funded Collaborator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b1b1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Sabelhaus; Brookings Institution; Letter of Collaboration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Josh McCabe; Niskanen Center; Letter of Collaboration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James M. Poterba; National Bureau of Economic Research; Letter of Collaboration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b1b1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Elise Henson; MyFriendBen (c/o Gary Community Ventures); Letter of Collaboration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Mark Frischmuth; DemocracyLab; Letter of Collaboration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oboto" w:cs="Roboto" w:eastAsia="Roboto" w:hAnsi="Robot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oboto" w:cs="Roboto" w:eastAsia="Roboto" w:hAnsi="Roboto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Roboto" w:cs="Roboto" w:eastAsia="Roboto" w:hAnsi="Roboto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Roboto" w:cs="Roboto" w:eastAsia="Roboto" w:hAnsi="Robot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