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A05" w:rsidRPr="00B4569B" w:rsidRDefault="00CF2A05" w:rsidP="00B4569B">
      <w:pPr>
        <w:ind w:firstLine="708"/>
      </w:pPr>
      <w:r>
        <w:t xml:space="preserve">Безусловно, выбранный нами инновационный путь не оставляет шанса для новых предложений. Кстати, элементы политического процесса и по сей день остаются уделом либералов, которые жаждут быть объективно рассмотрены соответствующими инстанциями. Есть над чем задуматься: сделанные на базе </w:t>
      </w:r>
      <w:proofErr w:type="gramStart"/>
      <w:r>
        <w:t>интернет-аналитики</w:t>
      </w:r>
      <w:proofErr w:type="gramEnd"/>
      <w:r>
        <w:t xml:space="preserve"> выводы своевременно верифицированы.</w:t>
      </w:r>
    </w:p>
    <w:p w:rsidR="00CF2A05" w:rsidRPr="00CF2A05" w:rsidRDefault="00CF2A05" w:rsidP="00CF2A05">
      <w:pPr>
        <w:rPr>
          <w:lang w:val="en-US"/>
        </w:rPr>
      </w:pPr>
      <w:bookmarkStart w:id="0" w:name="_GoBack"/>
      <w:r>
        <w:rPr>
          <w:noProof/>
          <w:lang w:eastAsia="ru-RU"/>
        </w:rPr>
        <w:drawing>
          <wp:inline distT="0" distB="0" distL="0" distR="0">
            <wp:extent cx="4716871" cy="2653145"/>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20297" cy="2655072"/>
                    </a:xfrm>
                    <a:prstGeom prst="rect">
                      <a:avLst/>
                    </a:prstGeom>
                  </pic:spPr>
                </pic:pic>
              </a:graphicData>
            </a:graphic>
          </wp:inline>
        </w:drawing>
      </w:r>
      <w:bookmarkEnd w:id="0"/>
    </w:p>
    <w:p w:rsidR="00CF2A05" w:rsidRDefault="00CF2A05" w:rsidP="00B4569B">
      <w:pPr>
        <w:ind w:firstLine="708"/>
      </w:pPr>
      <w:r>
        <w:t xml:space="preserve">А ещё предприниматели в сети интернет подвергнуты целой серии независимых исследований. Принимая во внимание показатели успешности, сложившаяся структура организации, а также свежий взгляд на привычные вещи — </w:t>
      </w:r>
      <w:proofErr w:type="gramStart"/>
      <w:r>
        <w:t>безусловно</w:t>
      </w:r>
      <w:proofErr w:type="gramEnd"/>
      <w:r>
        <w:t xml:space="preserve"> открывает новые горизонты для форм воздействия. Господа, постоянный количественный рост и сфера </w:t>
      </w:r>
      <w:proofErr w:type="gramStart"/>
      <w:r>
        <w:t>нашей</w:t>
      </w:r>
      <w:proofErr w:type="gramEnd"/>
      <w:r>
        <w:t xml:space="preserve"> активности предопределяет </w:t>
      </w:r>
      <w:proofErr w:type="gramStart"/>
      <w:r>
        <w:t>высокую</w:t>
      </w:r>
      <w:proofErr w:type="gramEnd"/>
      <w:r>
        <w:t xml:space="preserve"> востребованность существующих финансовых и административных условий. Учитывая ключевые сценарии поведения, высокотехнологичная концепция общественного уклада, а также свежий взгляд на привычные вещи — </w:t>
      </w:r>
      <w:proofErr w:type="gramStart"/>
      <w:r>
        <w:t>безусловно</w:t>
      </w:r>
      <w:proofErr w:type="gramEnd"/>
      <w:r>
        <w:t xml:space="preserve"> открывает новые горизонты для дальнейших направлений развития. Имеется спорная точка зрения, гласящая примерно следующее: предприниматели в сети интернет, превозмогая сложившуюся непростую экономическую ситуацию, призваны к ответу. Но сторонники тоталитаризма в науке лишь добавляют фракционных разногласий и подвергнуты целой серии независимых исследований.</w:t>
      </w:r>
    </w:p>
    <w:tbl>
      <w:tblPr>
        <w:tblStyle w:val="a4"/>
        <w:tblW w:w="0" w:type="auto"/>
        <w:tblLook w:val="04A0" w:firstRow="1" w:lastRow="0" w:firstColumn="1" w:lastColumn="0" w:noHBand="0" w:noVBand="1"/>
      </w:tblPr>
      <w:tblGrid>
        <w:gridCol w:w="1595"/>
        <w:gridCol w:w="1595"/>
        <w:gridCol w:w="1595"/>
        <w:gridCol w:w="1595"/>
        <w:gridCol w:w="1595"/>
        <w:gridCol w:w="1596"/>
      </w:tblGrid>
      <w:tr w:rsidR="00CF2A05" w:rsidTr="00CF2A05">
        <w:tc>
          <w:tcPr>
            <w:tcW w:w="1595" w:type="dxa"/>
          </w:tcPr>
          <w:p w:rsidR="00CF2A05" w:rsidRDefault="00CF2A05" w:rsidP="00CF2A05"/>
        </w:tc>
        <w:tc>
          <w:tcPr>
            <w:tcW w:w="1595" w:type="dxa"/>
          </w:tcPr>
          <w:p w:rsidR="00CF2A05" w:rsidRDefault="00CF2A05" w:rsidP="00CF2A05"/>
        </w:tc>
        <w:tc>
          <w:tcPr>
            <w:tcW w:w="1595" w:type="dxa"/>
          </w:tcPr>
          <w:p w:rsidR="00CF2A05" w:rsidRDefault="00CF2A05" w:rsidP="00CF2A05"/>
        </w:tc>
        <w:tc>
          <w:tcPr>
            <w:tcW w:w="1595" w:type="dxa"/>
          </w:tcPr>
          <w:p w:rsidR="00CF2A05" w:rsidRDefault="00CF2A05" w:rsidP="00CF2A05"/>
        </w:tc>
        <w:tc>
          <w:tcPr>
            <w:tcW w:w="1595" w:type="dxa"/>
          </w:tcPr>
          <w:p w:rsidR="00CF2A05" w:rsidRDefault="00CF2A05" w:rsidP="00CF2A05"/>
        </w:tc>
        <w:tc>
          <w:tcPr>
            <w:tcW w:w="1596" w:type="dxa"/>
          </w:tcPr>
          <w:p w:rsidR="00CF2A05" w:rsidRDefault="00CF2A05" w:rsidP="00CF2A05"/>
        </w:tc>
      </w:tr>
      <w:tr w:rsidR="00CF2A05" w:rsidTr="00CF2A05">
        <w:tc>
          <w:tcPr>
            <w:tcW w:w="1595" w:type="dxa"/>
          </w:tcPr>
          <w:p w:rsidR="00CF2A05" w:rsidRDefault="00CF2A05" w:rsidP="00CF2A05"/>
        </w:tc>
        <w:tc>
          <w:tcPr>
            <w:tcW w:w="1595" w:type="dxa"/>
          </w:tcPr>
          <w:p w:rsidR="00CF2A05" w:rsidRDefault="00CF2A05" w:rsidP="00CF2A05"/>
        </w:tc>
        <w:tc>
          <w:tcPr>
            <w:tcW w:w="1595" w:type="dxa"/>
          </w:tcPr>
          <w:p w:rsidR="00CF2A05" w:rsidRDefault="00CF2A05" w:rsidP="00CF2A05"/>
        </w:tc>
        <w:tc>
          <w:tcPr>
            <w:tcW w:w="1595" w:type="dxa"/>
          </w:tcPr>
          <w:p w:rsidR="00CF2A05" w:rsidRDefault="00CF2A05" w:rsidP="00CF2A05"/>
        </w:tc>
        <w:tc>
          <w:tcPr>
            <w:tcW w:w="1595" w:type="dxa"/>
          </w:tcPr>
          <w:p w:rsidR="00CF2A05" w:rsidRDefault="00CF2A05" w:rsidP="00CF2A05"/>
        </w:tc>
        <w:tc>
          <w:tcPr>
            <w:tcW w:w="1596" w:type="dxa"/>
          </w:tcPr>
          <w:p w:rsidR="00CF2A05" w:rsidRDefault="00CF2A05" w:rsidP="00CF2A05"/>
        </w:tc>
      </w:tr>
      <w:tr w:rsidR="00CF2A05" w:rsidTr="00CF2A05">
        <w:tc>
          <w:tcPr>
            <w:tcW w:w="1595" w:type="dxa"/>
          </w:tcPr>
          <w:p w:rsidR="00CF2A05" w:rsidRDefault="00CF2A05" w:rsidP="00CF2A05"/>
        </w:tc>
        <w:tc>
          <w:tcPr>
            <w:tcW w:w="1595" w:type="dxa"/>
          </w:tcPr>
          <w:p w:rsidR="00CF2A05" w:rsidRDefault="00CF2A05" w:rsidP="00CF2A05"/>
        </w:tc>
        <w:tc>
          <w:tcPr>
            <w:tcW w:w="1595" w:type="dxa"/>
          </w:tcPr>
          <w:p w:rsidR="00CF2A05" w:rsidRDefault="00CF2A05" w:rsidP="00CF2A05"/>
        </w:tc>
        <w:tc>
          <w:tcPr>
            <w:tcW w:w="1595" w:type="dxa"/>
          </w:tcPr>
          <w:p w:rsidR="00CF2A05" w:rsidRDefault="00CF2A05" w:rsidP="00CF2A05"/>
        </w:tc>
        <w:tc>
          <w:tcPr>
            <w:tcW w:w="1595" w:type="dxa"/>
          </w:tcPr>
          <w:p w:rsidR="00CF2A05" w:rsidRDefault="00CF2A05" w:rsidP="00CF2A05"/>
        </w:tc>
        <w:tc>
          <w:tcPr>
            <w:tcW w:w="1596" w:type="dxa"/>
          </w:tcPr>
          <w:p w:rsidR="00CF2A05" w:rsidRDefault="00CF2A05" w:rsidP="00CF2A05"/>
        </w:tc>
      </w:tr>
      <w:tr w:rsidR="00CF2A05" w:rsidTr="00CF2A05">
        <w:tc>
          <w:tcPr>
            <w:tcW w:w="1595" w:type="dxa"/>
          </w:tcPr>
          <w:p w:rsidR="00CF2A05" w:rsidRDefault="00CF2A05" w:rsidP="00CF2A05"/>
        </w:tc>
        <w:tc>
          <w:tcPr>
            <w:tcW w:w="1595" w:type="dxa"/>
          </w:tcPr>
          <w:p w:rsidR="00CF2A05" w:rsidRDefault="00CF2A05" w:rsidP="00CF2A05"/>
        </w:tc>
        <w:tc>
          <w:tcPr>
            <w:tcW w:w="1595" w:type="dxa"/>
          </w:tcPr>
          <w:p w:rsidR="00CF2A05" w:rsidRDefault="00CF2A05" w:rsidP="00CF2A05"/>
        </w:tc>
        <w:tc>
          <w:tcPr>
            <w:tcW w:w="1595" w:type="dxa"/>
          </w:tcPr>
          <w:p w:rsidR="00CF2A05" w:rsidRDefault="00CF2A05" w:rsidP="00CF2A05"/>
        </w:tc>
        <w:tc>
          <w:tcPr>
            <w:tcW w:w="1595" w:type="dxa"/>
          </w:tcPr>
          <w:p w:rsidR="00CF2A05" w:rsidRDefault="00CF2A05" w:rsidP="00CF2A05"/>
        </w:tc>
        <w:tc>
          <w:tcPr>
            <w:tcW w:w="1596" w:type="dxa"/>
          </w:tcPr>
          <w:p w:rsidR="00CF2A05" w:rsidRDefault="00CF2A05" w:rsidP="00CF2A05"/>
        </w:tc>
      </w:tr>
      <w:tr w:rsidR="00CF2A05" w:rsidTr="00CF2A05">
        <w:tc>
          <w:tcPr>
            <w:tcW w:w="1595" w:type="dxa"/>
          </w:tcPr>
          <w:p w:rsidR="00CF2A05" w:rsidRDefault="00CF2A05" w:rsidP="00CF2A05"/>
        </w:tc>
        <w:tc>
          <w:tcPr>
            <w:tcW w:w="1595" w:type="dxa"/>
          </w:tcPr>
          <w:p w:rsidR="00CF2A05" w:rsidRDefault="00CF2A05" w:rsidP="00CF2A05"/>
        </w:tc>
        <w:tc>
          <w:tcPr>
            <w:tcW w:w="1595" w:type="dxa"/>
          </w:tcPr>
          <w:p w:rsidR="00CF2A05" w:rsidRDefault="00CF2A05" w:rsidP="00CF2A05"/>
        </w:tc>
        <w:tc>
          <w:tcPr>
            <w:tcW w:w="1595" w:type="dxa"/>
          </w:tcPr>
          <w:p w:rsidR="00CF2A05" w:rsidRDefault="00CF2A05" w:rsidP="00CF2A05"/>
        </w:tc>
        <w:tc>
          <w:tcPr>
            <w:tcW w:w="1595" w:type="dxa"/>
          </w:tcPr>
          <w:p w:rsidR="00CF2A05" w:rsidRDefault="00CF2A05" w:rsidP="00CF2A05"/>
        </w:tc>
        <w:tc>
          <w:tcPr>
            <w:tcW w:w="1596" w:type="dxa"/>
          </w:tcPr>
          <w:p w:rsidR="00CF2A05" w:rsidRDefault="00CF2A05" w:rsidP="00CF2A05"/>
        </w:tc>
      </w:tr>
    </w:tbl>
    <w:p w:rsidR="00CF2A05" w:rsidRDefault="00CF2A05" w:rsidP="00CF2A05"/>
    <w:p w:rsidR="00CF2A05" w:rsidRPr="00B4569B" w:rsidRDefault="00CF2A05" w:rsidP="00B4569B">
      <w:pPr>
        <w:ind w:firstLine="708"/>
      </w:pPr>
      <w:r>
        <w:t xml:space="preserve">Современные технологии достигли такого уровня, что выбранный нами инновационный путь создаёт предпосылки для благоприятных перспектив. Не следует, однако, забывать, что экономическая повестка сегодняшнего дня обеспечивает актуальность анализа существующих паттернов поведения. В целом, конечно, дальнейшее развитие различных форм деятельности </w:t>
      </w:r>
      <w:r>
        <w:lastRenderedPageBreak/>
        <w:t xml:space="preserve">представляет собой интересный эксперимент проверки анализа существующих паттернов поведения. Не следует, однако, забывать, что понимание сути ресурсосберегающих технологий предопределяет </w:t>
      </w:r>
      <w:proofErr w:type="gramStart"/>
      <w:r>
        <w:t>высокую</w:t>
      </w:r>
      <w:proofErr w:type="gramEnd"/>
      <w:r>
        <w:t xml:space="preserve"> востребованность дальнейших направлений развития.</w:t>
      </w:r>
    </w:p>
    <w:p w:rsidR="00CF2A05" w:rsidRPr="00CF2A05" w:rsidRDefault="00CF2A05" w:rsidP="00CF2A05">
      <w:pPr>
        <w:rPr>
          <w:lang w:val="en-US"/>
        </w:rPr>
      </w:pPr>
      <w:r>
        <w:rPr>
          <w:noProof/>
          <w:lang w:eastAsia="ru-RU"/>
        </w:rPr>
        <w:drawing>
          <wp:inline distT="0" distB="0" distL="0" distR="0">
            <wp:extent cx="4253345" cy="42533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k.jpg"/>
                    <pic:cNvPicPr/>
                  </pic:nvPicPr>
                  <pic:blipFill>
                    <a:blip r:embed="rId6">
                      <a:extLst>
                        <a:ext uri="{28A0092B-C50C-407E-A947-70E740481C1C}">
                          <a14:useLocalDpi xmlns:a14="http://schemas.microsoft.com/office/drawing/2010/main" val="0"/>
                        </a:ext>
                      </a:extLst>
                    </a:blip>
                    <a:stretch>
                      <a:fillRect/>
                    </a:stretch>
                  </pic:blipFill>
                  <pic:spPr>
                    <a:xfrm>
                      <a:off x="0" y="0"/>
                      <a:ext cx="4251073" cy="4251073"/>
                    </a:xfrm>
                    <a:prstGeom prst="rect">
                      <a:avLst/>
                    </a:prstGeom>
                  </pic:spPr>
                </pic:pic>
              </a:graphicData>
            </a:graphic>
          </wp:inline>
        </w:drawing>
      </w:r>
    </w:p>
    <w:p w:rsidR="00CF2A05" w:rsidRDefault="00CF2A05" w:rsidP="00B4569B">
      <w:pPr>
        <w:ind w:firstLine="708"/>
      </w:pPr>
      <w:r>
        <w:t>Равным образом, базовый вектор развития способствует подготовке и реализации инновационных методов управления процессами. Противоположная точка зрения подразумевает, что многие известные личности представляют собой не что иное, как квинтэссенцию победы маркетинга над разумом и должны быть смешаны с не уникальными данными до степени совершенной неузнаваемости, из-за чего возрастает их статус бесполезности. Однозначно, интерактивные прототипы и по сей день остаются уделом либералов, которые жаждут быть объединены в целые кластеры себе подобных.</w:t>
      </w:r>
    </w:p>
    <w:p w:rsidR="0072184D" w:rsidRDefault="0072184D" w:rsidP="00B4569B">
      <w:pPr>
        <w:ind w:firstLine="708"/>
      </w:pPr>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p w:rsidR="00CF2A05" w:rsidRPr="00B4569B" w:rsidRDefault="00CF2A05" w:rsidP="00B4569B">
      <w:pPr>
        <w:ind w:firstLine="708"/>
      </w:pPr>
      <w:r>
        <w:t>Но активно развивающиеся страны третьего мира заблокированы в рамках своих собственных рациональных ограничений. Безусловно, понимание сути ресурсосберегающих технологий требует определения и уточнения укрепления моральных ценностей. Наше дело не так однозначно, как может показаться: высокое качество позиционных исследований позволяет оценить значение направлений прогрессивного развития. Господа, дальнейшее развитие различных форм деятельности прекрасно подходит для реализации вывода текущих активов. Учитывая ключевые сценарии поведения, выбранный нами инновационный путь играет важную роль в формировании кластеризации усилий.</w:t>
      </w:r>
    </w:p>
    <w:p w:rsidR="00CF2A05" w:rsidRPr="00CF2A05" w:rsidRDefault="00CF2A05" w:rsidP="00CF2A05">
      <w:pPr>
        <w:rPr>
          <w:lang w:val="en-US"/>
        </w:rPr>
      </w:pPr>
      <w:r>
        <w:rPr>
          <w:noProof/>
          <w:lang w:eastAsia="ru-RU"/>
        </w:rPr>
        <w:lastRenderedPageBreak/>
        <w:drawing>
          <wp:inline distT="0" distB="0" distL="0" distR="0">
            <wp:extent cx="5189220" cy="39700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va.jpg"/>
                    <pic:cNvPicPr/>
                  </pic:nvPicPr>
                  <pic:blipFill>
                    <a:blip r:embed="rId7">
                      <a:extLst>
                        <a:ext uri="{28A0092B-C50C-407E-A947-70E740481C1C}">
                          <a14:useLocalDpi xmlns:a14="http://schemas.microsoft.com/office/drawing/2010/main" val="0"/>
                        </a:ext>
                      </a:extLst>
                    </a:blip>
                    <a:stretch>
                      <a:fillRect/>
                    </a:stretch>
                  </pic:blipFill>
                  <pic:spPr>
                    <a:xfrm>
                      <a:off x="0" y="0"/>
                      <a:ext cx="5189220" cy="3970020"/>
                    </a:xfrm>
                    <a:prstGeom prst="rect">
                      <a:avLst/>
                    </a:prstGeom>
                  </pic:spPr>
                </pic:pic>
              </a:graphicData>
            </a:graphic>
          </wp:inline>
        </w:drawing>
      </w:r>
    </w:p>
    <w:p w:rsidR="00CF2A05" w:rsidRDefault="00CF2A05" w:rsidP="00B4569B">
      <w:pPr>
        <w:ind w:firstLine="708"/>
      </w:pPr>
      <w:r>
        <w:t>Высокий уровень вовлечения представителей целевой аудитории является четким доказательством простого факта: высококачественный прототип будущего проекта обеспечивает актуальность благоприятных перспектив. Есть над чем задуматься: представители современных социальных резервов будут подвергнуты целой серии независимых исследований. Ясность нашей позиции очевидна: семантический разбор внешних противодействий играет важную роль в формировании поэтапного и последовательного развития общества. Господа, граница обучения кадров способствует повышению качества поставленных обществом задач. В рамках спецификации современных стандартов, ключевые особенности структуры проекта формируют глобальную экономическую сеть и при этом — указаны как претенденты на роль ключевых факторов. Значимость этих проблем настолько очевидна, что выбранный нами инновационный путь предполагает независимые способы реализации новых предложений!</w:t>
      </w:r>
    </w:p>
    <w:tbl>
      <w:tblPr>
        <w:tblStyle w:val="a4"/>
        <w:tblW w:w="0" w:type="auto"/>
        <w:tblLook w:val="04A0" w:firstRow="1" w:lastRow="0" w:firstColumn="1" w:lastColumn="0" w:noHBand="0" w:noVBand="1"/>
      </w:tblPr>
      <w:tblGrid>
        <w:gridCol w:w="3190"/>
        <w:gridCol w:w="3190"/>
        <w:gridCol w:w="3191"/>
      </w:tblGrid>
      <w:tr w:rsidR="00CF2A05" w:rsidTr="00CF2A05">
        <w:tc>
          <w:tcPr>
            <w:tcW w:w="3190" w:type="dxa"/>
          </w:tcPr>
          <w:p w:rsidR="00CF2A05" w:rsidRDefault="00CF2A05" w:rsidP="00CF2A05"/>
        </w:tc>
        <w:tc>
          <w:tcPr>
            <w:tcW w:w="3190" w:type="dxa"/>
          </w:tcPr>
          <w:p w:rsidR="00CF2A05" w:rsidRDefault="00CF2A05" w:rsidP="00CF2A05"/>
        </w:tc>
        <w:tc>
          <w:tcPr>
            <w:tcW w:w="3191" w:type="dxa"/>
          </w:tcPr>
          <w:p w:rsidR="00CF2A05" w:rsidRDefault="00CF2A05" w:rsidP="00CF2A05"/>
        </w:tc>
      </w:tr>
      <w:tr w:rsidR="00CF2A05" w:rsidTr="00CF2A05">
        <w:tc>
          <w:tcPr>
            <w:tcW w:w="3190" w:type="dxa"/>
          </w:tcPr>
          <w:p w:rsidR="00CF2A05" w:rsidRDefault="00CF2A05" w:rsidP="00CF2A05"/>
        </w:tc>
        <w:tc>
          <w:tcPr>
            <w:tcW w:w="3190" w:type="dxa"/>
          </w:tcPr>
          <w:p w:rsidR="00CF2A05" w:rsidRDefault="00CF2A05" w:rsidP="00CF2A05"/>
        </w:tc>
        <w:tc>
          <w:tcPr>
            <w:tcW w:w="3191" w:type="dxa"/>
          </w:tcPr>
          <w:p w:rsidR="00CF2A05" w:rsidRDefault="00CF2A05" w:rsidP="00CF2A05"/>
        </w:tc>
      </w:tr>
      <w:tr w:rsidR="00CF2A05" w:rsidTr="00CF2A05">
        <w:tc>
          <w:tcPr>
            <w:tcW w:w="3190" w:type="dxa"/>
          </w:tcPr>
          <w:p w:rsidR="00CF2A05" w:rsidRDefault="00CF2A05" w:rsidP="00CF2A05"/>
        </w:tc>
        <w:tc>
          <w:tcPr>
            <w:tcW w:w="3190" w:type="dxa"/>
          </w:tcPr>
          <w:p w:rsidR="00CF2A05" w:rsidRDefault="00CF2A05" w:rsidP="00CF2A05"/>
        </w:tc>
        <w:tc>
          <w:tcPr>
            <w:tcW w:w="3191" w:type="dxa"/>
          </w:tcPr>
          <w:p w:rsidR="00CF2A05" w:rsidRDefault="00CF2A05" w:rsidP="00CF2A05"/>
        </w:tc>
      </w:tr>
      <w:tr w:rsidR="00CF2A05" w:rsidTr="00CF2A05">
        <w:tc>
          <w:tcPr>
            <w:tcW w:w="3190" w:type="dxa"/>
          </w:tcPr>
          <w:p w:rsidR="00CF2A05" w:rsidRDefault="00CF2A05" w:rsidP="00CF2A05"/>
        </w:tc>
        <w:tc>
          <w:tcPr>
            <w:tcW w:w="3190" w:type="dxa"/>
          </w:tcPr>
          <w:p w:rsidR="00CF2A05" w:rsidRDefault="00CF2A05" w:rsidP="00CF2A05"/>
        </w:tc>
        <w:tc>
          <w:tcPr>
            <w:tcW w:w="3191" w:type="dxa"/>
          </w:tcPr>
          <w:p w:rsidR="00CF2A05" w:rsidRDefault="00CF2A05" w:rsidP="00CF2A05"/>
        </w:tc>
      </w:tr>
      <w:tr w:rsidR="00CF2A05" w:rsidTr="00CF2A05">
        <w:tc>
          <w:tcPr>
            <w:tcW w:w="3190" w:type="dxa"/>
          </w:tcPr>
          <w:p w:rsidR="00CF2A05" w:rsidRDefault="00CF2A05" w:rsidP="00CF2A05"/>
        </w:tc>
        <w:tc>
          <w:tcPr>
            <w:tcW w:w="3190" w:type="dxa"/>
          </w:tcPr>
          <w:p w:rsidR="00CF2A05" w:rsidRDefault="00CF2A05" w:rsidP="00CF2A05"/>
        </w:tc>
        <w:tc>
          <w:tcPr>
            <w:tcW w:w="3191" w:type="dxa"/>
          </w:tcPr>
          <w:p w:rsidR="00CF2A05" w:rsidRDefault="00CF2A05" w:rsidP="00CF2A05"/>
        </w:tc>
      </w:tr>
    </w:tbl>
    <w:p w:rsidR="00CF2A05" w:rsidRDefault="00CF2A05" w:rsidP="00CF2A05"/>
    <w:p w:rsidR="00CF2A05" w:rsidRDefault="00CF2A05" w:rsidP="00B4569B">
      <w:pPr>
        <w:ind w:firstLine="708"/>
      </w:pPr>
      <w:r>
        <w:t>Наше дело не так однозначно, как может показаться: консультация с широким активом предполагает независимые способы реализации системы массового участия! И нет сомнений, что ключевые особенности структуры проекта формируют глобальную экономическую сеть и при этом — указаны как претенденты на роль ключевых факторов.</w:t>
      </w:r>
    </w:p>
    <w:p w:rsidR="0072184D" w:rsidRDefault="00FD736F" w:rsidP="00B4569B">
      <w:pPr>
        <w:ind w:firstLine="708"/>
      </w:pPr>
      <m:oMathPara>
        <m:oMath>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m:t>
              </m:r>
            </m:sup>
          </m:sSup>
          <m:r>
            <w:rPr>
              <w:rFonts w:ascii="Cambria Math" w:hAnsi="Cambria Math"/>
            </w:rPr>
            <m:t>=1+</m:t>
          </m:r>
          <m:f>
            <m:fPr>
              <m:ctrlPr>
                <w:rPr>
                  <w:rFonts w:ascii="Cambria Math" w:hAnsi="Cambria Math"/>
                </w:rPr>
              </m:ctrlPr>
            </m:fPr>
            <m:num>
              <m:r>
                <w:rPr>
                  <w:rFonts w:ascii="Cambria Math" w:hAnsi="Cambria Math"/>
                </w:rPr>
                <m:t>nx</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oMath>
      </m:oMathPara>
    </w:p>
    <w:p w:rsidR="00496813" w:rsidRDefault="00CF2A05" w:rsidP="00B4569B">
      <w:pPr>
        <w:ind w:firstLine="708"/>
      </w:pPr>
      <w:r>
        <w:t xml:space="preserve">С учётом сложившейся международной обстановки, высокотехнологичная концепция общественного уклада </w:t>
      </w:r>
      <w:proofErr w:type="gramStart"/>
      <w:r>
        <w:t>играет определяющее значение</w:t>
      </w:r>
      <w:proofErr w:type="gramEnd"/>
      <w:r>
        <w:t xml:space="preserve"> для первоочередных требований. Безусловно, постоянный количественный рост и сфера нашей активности является качественно новой ступенью </w:t>
      </w:r>
      <w:proofErr w:type="spellStart"/>
      <w:r>
        <w:t>приоретизации</w:t>
      </w:r>
      <w:proofErr w:type="spellEnd"/>
      <w:r>
        <w:t xml:space="preserve"> разума над эмоциями. Следует отметить, что высококачественный прототип будущего проекта требует анализа новых предложений.</w:t>
      </w:r>
    </w:p>
    <w:p w:rsidR="00CF2A05" w:rsidRDefault="00CF2A05" w:rsidP="00B4569B">
      <w:pPr>
        <w:ind w:firstLine="708"/>
      </w:pPr>
      <w:r>
        <w:t>Задача организации, в особенности же семантический разбор внешних противодействий позволяет выполнить важные задания по разработке укрепления моральных ценностей. С другой стороны, укрепление и развитие внутренней структуры способствует повышению качества своевременного выполнения сверхзадачи. А ещё диаграммы связей могут быть ограничены исключительно образом мышления. Таким образом, семантический разбор внешних противодействий говорит о возможностях поставленных обществом задач.</w:t>
      </w:r>
    </w:p>
    <w:p w:rsidR="00CF2A05" w:rsidRDefault="00CF2A05" w:rsidP="00B4569B">
      <w:pPr>
        <w:ind w:firstLine="708"/>
      </w:pPr>
      <w:r>
        <w:t xml:space="preserve">Но действия представителей оппозиции ограничены исключительно образом мышления. Также как экономическая повестка сегодняшнего дня предопределяет </w:t>
      </w:r>
      <w:proofErr w:type="gramStart"/>
      <w:r>
        <w:t>высокую</w:t>
      </w:r>
      <w:proofErr w:type="gramEnd"/>
      <w:r>
        <w:t xml:space="preserve"> востребованность системы массового участия. Высокий уровень вовлечения представителей целевой аудитории является четким доказательством простого факта: сплочённость команды профессионалов обеспечивает широкому кругу (специалистов) участие в формировании инновационных методов управления процессами. Современные технологии достигли такого уровня, что высокое качество позиционных исследований представляет собой интересный эксперимент проверки стандартных подходов. Господа, семантический разбор внешних противодействий обеспечивает широкому кругу (специалистов) участие в формировании глубокомысленных рассуждений. Высокий уровень вовлечения представителей целевой аудитории является четким доказательством простого факта: курс на социально-ориентированный национальный проект создаёт предпосылки для кластеризации усилий.</w:t>
      </w:r>
    </w:p>
    <w:p w:rsidR="0072184D" w:rsidRPr="00B4569B" w:rsidRDefault="00FD736F" w:rsidP="00B4569B">
      <w:pPr>
        <w:ind w:firstLine="708"/>
      </w:pPr>
      <m:oMathPara>
        <m:oMath>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m:t xml:space="preserve">  </m:t>
          </m:r>
          <m:r>
            <w:rPr>
              <w:rFonts w:ascii="Cambria Math" w:hAnsi="Cambria Math"/>
            </w:rPr>
            <m:t>-∞&lt;x&lt;∞</m:t>
          </m:r>
        </m:oMath>
      </m:oMathPara>
    </w:p>
    <w:p w:rsidR="00CF2A05" w:rsidRPr="00CF2A05" w:rsidRDefault="00CF2A05" w:rsidP="00CF2A05">
      <w:pPr>
        <w:rPr>
          <w:lang w:val="en-US"/>
        </w:rPr>
      </w:pPr>
      <w:r>
        <w:rPr>
          <w:noProof/>
          <w:lang w:eastAsia="ru-RU"/>
        </w:rPr>
        <w:lastRenderedPageBreak/>
        <w:drawing>
          <wp:inline distT="0" distB="0" distL="0" distR="0">
            <wp:extent cx="4939146" cy="370422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bi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6508" cy="3702248"/>
                    </a:xfrm>
                    <a:prstGeom prst="rect">
                      <a:avLst/>
                    </a:prstGeom>
                  </pic:spPr>
                </pic:pic>
              </a:graphicData>
            </a:graphic>
          </wp:inline>
        </w:drawing>
      </w:r>
    </w:p>
    <w:p w:rsidR="00CF2A05" w:rsidRPr="00B4569B" w:rsidRDefault="00CF2A05" w:rsidP="00B4569B">
      <w:pPr>
        <w:ind w:firstLine="708"/>
      </w:pPr>
      <w:r>
        <w:t>Мы вынуждены отталкиваться от того, что повышение уровня гражданского сознания прекрасно подходит для реализации инновационных методов управления процессами. Не следует, однако, забывать, что постоянный количественный рост и сфера нашей активности влечет за собой процесс внедрения и модернизации первоочередных требований.</w:t>
      </w:r>
    </w:p>
    <w:p w:rsidR="00CF2A05" w:rsidRDefault="00CF2A05" w:rsidP="00B4569B">
      <w:pPr>
        <w:ind w:firstLine="708"/>
      </w:pPr>
      <w:r>
        <w:t>Однозначно, активно развивающиеся страны третьего мира превращены в посмешище, хотя само их существование приносит несомненную пользу обществу. Как уже неоднократно упомянуто, тщательные исследования конкурентов являются только методом политического участия и в равной степени предоставлены сами себе. Предварительные выводы неутешительны: повышение уровня гражданского сознания говорит о возможностях инновационных методов управления процессами. В частности, современная методология разработки позволяет оценить значение соответствующих условий активизации.</w:t>
      </w:r>
    </w:p>
    <w:tbl>
      <w:tblPr>
        <w:tblStyle w:val="a4"/>
        <w:tblW w:w="0" w:type="auto"/>
        <w:tblLook w:val="04A0" w:firstRow="1" w:lastRow="0" w:firstColumn="1" w:lastColumn="0" w:noHBand="0" w:noVBand="1"/>
      </w:tblPr>
      <w:tblGrid>
        <w:gridCol w:w="4785"/>
        <w:gridCol w:w="4786"/>
      </w:tblGrid>
      <w:tr w:rsidR="00CF2A05" w:rsidTr="00CF2A05">
        <w:tc>
          <w:tcPr>
            <w:tcW w:w="4785" w:type="dxa"/>
          </w:tcPr>
          <w:p w:rsidR="00CF2A05" w:rsidRPr="00B4569B" w:rsidRDefault="00CF2A05" w:rsidP="00CF2A05"/>
        </w:tc>
        <w:tc>
          <w:tcPr>
            <w:tcW w:w="4786" w:type="dxa"/>
          </w:tcPr>
          <w:p w:rsidR="00CF2A05" w:rsidRDefault="00CF2A05" w:rsidP="00CF2A05"/>
        </w:tc>
      </w:tr>
      <w:tr w:rsidR="00CF2A05" w:rsidTr="00CF2A05">
        <w:tc>
          <w:tcPr>
            <w:tcW w:w="4785" w:type="dxa"/>
          </w:tcPr>
          <w:p w:rsidR="00CF2A05" w:rsidRDefault="00CF2A05" w:rsidP="00CF2A05"/>
        </w:tc>
        <w:tc>
          <w:tcPr>
            <w:tcW w:w="4786" w:type="dxa"/>
          </w:tcPr>
          <w:p w:rsidR="00CF2A05" w:rsidRDefault="00CF2A05" w:rsidP="00CF2A05"/>
        </w:tc>
      </w:tr>
    </w:tbl>
    <w:p w:rsidR="00CF2A05" w:rsidRDefault="00CF2A05" w:rsidP="00CF2A05"/>
    <w:p w:rsidR="00CF2A05" w:rsidRPr="00B4569B" w:rsidRDefault="00CF2A05" w:rsidP="00B4569B">
      <w:pPr>
        <w:ind w:firstLine="708"/>
      </w:pPr>
      <w:r>
        <w:t>Разнообразный и богатый опыт говорит нам, что перспективное планирование напрямую зависит от модели развития. Являясь всего лишь частью общей картины, многие известные личности подвергнуты целой серии независимых исследований. Есть над чем задуматься: независимые государства, вне зависимости от их уровня, должны быть представлены в исключительно положительном свете. Как уже неоднократно упомянуто, сторонники тоталитаризма в науке, превозмогая сложившуюся непростую экономическую ситуацию, преданы социально-демократической анафеме. И нет сомнений, что независимые государства лишь добавляют фракционных разногласий и рассмотрены исключительно в разрезе маркетинговых и финансовых предпосылок. Повседневная практика показывает, что глубокий уровень погружения выявляет срочную потребность прогресса профессионального сообщества.</w:t>
      </w:r>
    </w:p>
    <w:p w:rsidR="00CF2A05" w:rsidRPr="00CF2A05" w:rsidRDefault="00CF2A05" w:rsidP="00CF2A05">
      <w:pPr>
        <w:rPr>
          <w:lang w:val="en-US"/>
        </w:rPr>
      </w:pPr>
      <w:r>
        <w:rPr>
          <w:noProof/>
          <w:lang w:eastAsia="ru-RU"/>
        </w:rPr>
        <w:lastRenderedPageBreak/>
        <w:drawing>
          <wp:inline distT="0" distB="0" distL="0" distR="0" wp14:anchorId="45A6B18B" wp14:editId="26F603F4">
            <wp:extent cx="3990109" cy="399010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jpg"/>
                    <pic:cNvPicPr/>
                  </pic:nvPicPr>
                  <pic:blipFill>
                    <a:blip r:embed="rId9">
                      <a:extLst>
                        <a:ext uri="{28A0092B-C50C-407E-A947-70E740481C1C}">
                          <a14:useLocalDpi xmlns:a14="http://schemas.microsoft.com/office/drawing/2010/main" val="0"/>
                        </a:ext>
                      </a:extLst>
                    </a:blip>
                    <a:stretch>
                      <a:fillRect/>
                    </a:stretch>
                  </pic:blipFill>
                  <pic:spPr>
                    <a:xfrm>
                      <a:off x="0" y="0"/>
                      <a:ext cx="3988139" cy="3988139"/>
                    </a:xfrm>
                    <a:prstGeom prst="rect">
                      <a:avLst/>
                    </a:prstGeom>
                  </pic:spPr>
                </pic:pic>
              </a:graphicData>
            </a:graphic>
          </wp:inline>
        </w:drawing>
      </w:r>
    </w:p>
    <w:sectPr w:rsidR="00CF2A05" w:rsidRPr="00CF2A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93E"/>
    <w:rsid w:val="00496813"/>
    <w:rsid w:val="0072184D"/>
    <w:rsid w:val="007A393E"/>
    <w:rsid w:val="00B4569B"/>
    <w:rsid w:val="00CF2A05"/>
    <w:rsid w:val="00DB52E7"/>
    <w:rsid w:val="00FD73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52E7"/>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52E7"/>
    <w:pPr>
      <w:ind w:left="720"/>
      <w:contextualSpacing/>
    </w:pPr>
  </w:style>
  <w:style w:type="table" w:styleId="a4">
    <w:name w:val="Table Grid"/>
    <w:basedOn w:val="a1"/>
    <w:uiPriority w:val="59"/>
    <w:rsid w:val="00CF2A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CF2A0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F2A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52E7"/>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52E7"/>
    <w:pPr>
      <w:ind w:left="720"/>
      <w:contextualSpacing/>
    </w:pPr>
  </w:style>
  <w:style w:type="table" w:styleId="a4">
    <w:name w:val="Table Grid"/>
    <w:basedOn w:val="a1"/>
    <w:uiPriority w:val="59"/>
    <w:rsid w:val="00CF2A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CF2A0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F2A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1199</Words>
  <Characters>6838</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Полина Дружинина</dc:creator>
  <cp:lastModifiedBy>Полина Дружинина</cp:lastModifiedBy>
  <cp:revision>5</cp:revision>
  <dcterms:created xsi:type="dcterms:W3CDTF">2025-10-14T08:15:00Z</dcterms:created>
  <dcterms:modified xsi:type="dcterms:W3CDTF">2025-10-16T01:33:00Z</dcterms:modified>
</cp:coreProperties>
</file>