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Пермский национальный исследовательский политехнический университет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“Информационные технологии и автоматизированные системы”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Лабораторная работа </w:t>
      </w: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№ 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по дисциплине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«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Основы алгоритмизации и программирования»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Функции и массивы</w:t>
      </w:r>
      <w:r>
        <w:rPr>
          <w:rFonts w:ascii="Arial" w:hAnsi="Arial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Студентка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группы ИВТ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-19-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Еремеева Полина Алексеевна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кафедры “ИТАС”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Полякова 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 20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Постановка задачи </w:t>
      </w:r>
    </w:p>
    <w:p>
      <w:pPr>
        <w:pStyle w:val="По умолчанию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Написать функцию для вычисления суммы элементов квадратной матрицы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которые расположены ниже главной диагонали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С ее помощью найти максимальное значение такой суммы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матрицах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  <w:lang w:val="en-US"/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Анализ задачи 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Создаем функцию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которая считает сумму элементов квадратной матрицы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которые расположены ниже главной диагонали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Через цикл 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for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создаем матрицу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вызываем функцию для подсчета сумму элементов квадратной матрицы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которые расположены ниже главной диагонали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Выводим все матрицы введенные пользователем и сумму элементов квадратной матрицы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которые расположены ниже главной диагонали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Через цикл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for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if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сравнивает числа суммы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И выводим на экран наибольшее число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Блок 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схема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-107019</wp:posOffset>
            </wp:positionH>
            <wp:positionV relativeFrom="line">
              <wp:posOffset>417919</wp:posOffset>
            </wp:positionV>
            <wp:extent cx="5445353" cy="9083838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-1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353" cy="90838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Код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&lt;stdlib.h&gt;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summa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a,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i, j, s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m;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(j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j &lt; m; j++)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&gt; j)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s += a[i][j];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количество матриц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квадратную матрицу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**a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*[m], i, j, *sum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[n], max, 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m;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a[i]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[m];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(k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k &lt; n; k++)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m;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(j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j &lt; m; j++)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a[i][j] =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a[i][j]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"\t"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"____________"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sum[k]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summa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(a, 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sum[k]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max = sum[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(sum[i] &gt; max)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max = sum[i];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d12e1b"/>
          <w:sz w:val="20"/>
          <w:szCs w:val="20"/>
          <w:shd w:val="clear" w:color="auto" w:fill="feffff"/>
          <w:rtl w:val="0"/>
          <w14:textFill>
            <w14:solidFill>
              <w14:srgbClr w14:val="D12F1B"/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Максимальная сумма равна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max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Тестировани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3251420</wp:posOffset>
            </wp:positionH>
            <wp:positionV relativeFrom="line">
              <wp:posOffset>397599</wp:posOffset>
            </wp:positionV>
            <wp:extent cx="2147389" cy="6120057"/>
            <wp:effectExtent l="0" t="0" r="0" b="0"/>
            <wp:wrapThrough wrapText="bothSides" distL="152400" distR="152400">
              <wp:wrapPolygon edited="1">
                <wp:start x="0" y="0"/>
                <wp:lineTo x="21642" y="0"/>
                <wp:lineTo x="21642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3-27 в 18.09.5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38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397599</wp:posOffset>
            </wp:positionV>
            <wp:extent cx="2882900" cy="5778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3-27 в 18.10.1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778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7099817</wp:posOffset>
            </wp:positionV>
            <wp:extent cx="2654300" cy="850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3-27 в 18.10.0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85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