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Шаблон отчёта по лабораторной работе</w:t>
      </w:r>
    </w:p>
    <w:p>
      <w:pPr>
        <w:pStyle w:val="Subtitle"/>
      </w:pPr>
      <w:r>
        <w:t xml:space="preserve">Простейший вариант</w:t>
      </w:r>
    </w:p>
    <w:p>
      <w:pPr>
        <w:pStyle w:val="Author"/>
      </w:pPr>
      <w:r>
        <w:t xml:space="preserve">Дмитрий Сергеевич Кулябов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Здесь приводится формулировка цели лабораторной работы.</w:t>
      </w:r>
      <w:r>
        <w:t xml:space="preserve"> </w:t>
      </w:r>
      <w:r>
        <w:t xml:space="preserve">Формулировки цели для каждой лабораторной работы приведены в методических указаниях.</w:t>
      </w:r>
    </w:p>
    <w:p>
      <w:pPr>
        <w:pStyle w:val="BodyText"/>
      </w:pPr>
      <w:r>
        <w:t xml:space="preserve">Цель данного шаблона — максимально упростить подготовку отчётов по лабораторным работам.</w:t>
      </w:r>
      <w:r>
        <w:t xml:space="preserve"> </w:t>
      </w:r>
      <w:r>
        <w:t xml:space="preserve">Модифицируя данный шаблон, студенты смогут без труда подготовить отчёт по лабораторным работам, а также познакомиться с основными возможностями разметки Markdown.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Здесь приводится описание задания в соответствии с рекомендациями методического пособия и выданным вариантом.</w:t>
      </w:r>
    </w:p>
    <w:bookmarkEnd w:id="21"/>
    <w:bookmarkStart w:id="23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Здесь описываются теоретические аспекты, связанные с выполнением работы.</w:t>
      </w:r>
    </w:p>
    <w:p>
      <w:pPr>
        <w:pStyle w:val="BodyText"/>
      </w:pPr>
      <w:r>
        <w:t xml:space="preserve">Например, в</w:t>
      </w:r>
      <w:r>
        <w:t xml:space="preserve"> </w:t>
      </w:r>
      <w:hyperlink w:anchor="tbl-std-dir">
        <w:r>
          <w:rPr>
            <w:rStyle w:val="Hyperlink"/>
          </w:rPr>
          <w:t xml:space="preserve">табл. 1</w:t>
        </w:r>
      </w:hyperlink>
      <w:r>
        <w:t xml:space="preserve"> </w:t>
      </w:r>
      <w:r>
        <w:t xml:space="preserve">приведено краткое описание стандартных каталогов Unix.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std-dir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1: Описание некоторых каталогов файловой системы GNU Linux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803"/>
              <w:gridCol w:w="711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Имя каталога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Описание каталога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Корневая директория, содержащая всю файловую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/bin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Основные системные утилиты, необходимые как в однопользовательском режиме, так и при обычной работе всем пользователям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/etc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Общесистемные конфигурационные файлы и файлы конфигурации установленных программ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/home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Содержит домашние директории пользователей, которые, в свою очередь, содержат персональные настройки и данные пользователя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/media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Точки монтирования для сменных носителей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/root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Домашняя директория пользователя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root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/tmp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Временные файлы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/usr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Вторичная иерархия для данных пользователя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t xml:space="preserve">Более подробно про Unix см. в</w:t>
      </w:r>
      <w:r>
        <w:t xml:space="preserve"> </w:t>
      </w:r>
      <w:r>
        <w:t xml:space="preserve">[1–4]</w:t>
      </w:r>
      <w:r>
        <w:t xml:space="preserve">.</w:t>
      </w:r>
    </w:p>
    <w:bookmarkEnd w:id="23"/>
    <w:bookmarkStart w:id="28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Описываются проведённые действия, в качестве иллюстрации даётся ссылка на иллюстрацию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fig-001"/>
          <w:p>
            <w:pPr>
              <w:pStyle w:val="Compact"/>
              <w:jc w:val="center"/>
            </w:pPr>
            <w:r>
              <w:drawing>
                <wp:inline>
                  <wp:extent cx="3733800" cy="1938906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image/solvay.jp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389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V Сольвеевский конгресс (1927) «Электроны и фотоны»</w:t>
            </w:r>
          </w:p>
          <w:bookmarkEnd w:id="27"/>
        </w:tc>
      </w:tr>
    </w:tbl>
    <w:bookmarkEnd w:id="28"/>
    <w:bookmarkStart w:id="29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Здесь кратко описываются итоги проделанной работы.</w:t>
      </w:r>
    </w:p>
    <w:bookmarkEnd w:id="29"/>
    <w:bookmarkStart w:id="36" w:name="список-литературы"/>
    <w:p>
      <w:pPr>
        <w:pStyle w:val="Heading1"/>
      </w:pPr>
      <w:r>
        <w:t xml:space="preserve">Список литературы</w:t>
      </w:r>
    </w:p>
    <w:bookmarkStart w:id="35" w:name="refs"/>
    <w:bookmarkStart w:id="30" w:name="ref-tanenbaum_book_modern-os_ru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Таненбаум Э., Бос Х.</w:t>
      </w:r>
      <w:r>
        <w:t xml:space="preserve"> </w:t>
      </w:r>
      <w:r>
        <w:t xml:space="preserve">Современные операционные системы</w:t>
      </w:r>
      <w:r>
        <w:t xml:space="preserve">. 4-е изд. СПб.: Питер, 2015. 1120 с.</w:t>
      </w:r>
    </w:p>
    <w:bookmarkEnd w:id="30"/>
    <w:bookmarkStart w:id="31" w:name="ref-robbins_book_bash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31"/>
    <w:bookmarkStart w:id="32" w:name="ref-zarrelli_book_mastering-bash_e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Zarrelli G. Mastering Bash. Packt Publishing, 2017. 502 с.</w:t>
      </w:r>
    </w:p>
    <w:bookmarkEnd w:id="32"/>
    <w:bookmarkStart w:id="34" w:name="ref-newham_book_learning-bash_en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33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jpg" /><Relationship Type="http://schemas.openxmlformats.org/officeDocument/2006/relationships/hyperlink" Id="rId33" Target="http://www.amazon.com/Learning-bash-Shell-Programming-Nutshell/dp/05960096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://www.amazon.com/Learning-bash-Shell-Programming-Nutshell/dp/05960096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лабораторной работе</dc:title>
  <dc:creator>Дмитрий Сергеевич Кулябов</dc:creator>
  <dc:language>ru-RU</dc:language>
  <cp:keywords/>
  <dcterms:created xsi:type="dcterms:W3CDTF">2026-03-07T08:27:37Z</dcterms:created>
  <dcterms:modified xsi:type="dcterms:W3CDTF">2026-03-07T08:27:37Z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Простейший вариант</vt:lpwstr>
  </property>
  <property fmtid="{D5CDD505-2E9C-101B-9397-08002B2CF9AE}" pid="16" name="toc-title">
    <vt:lpwstr>Содержание</vt:lpwstr>
  </property>
</Properties>
</file>