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использования утилиты ip.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использования утилиты nmcli.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Проверка конфигурации сети.</w:t>
      </w:r>
    </w:p>
    <w:p>
      <w:pPr>
        <w:pStyle w:val="FirstParagraph"/>
      </w:pPr>
      <w:r>
        <w:t xml:space="preserve">Получите полномочия администратора. Выведите на экран информацию о существующих сетевых подключениях, а также статистику о количестве отправленных пакетов и связанных с ними сообщениях об</w:t>
      </w:r>
      <w:r>
        <w:t xml:space="preserve"> </w:t>
      </w:r>
      <w:r>
        <w:t xml:space="preserve">ошибках. Выведите на экран информацию о текущих маршрутах. Выведите на экран информацию о текущих назначениях адресов для сетевых интерфейсов на устройстве. Определите</w:t>
      </w:r>
      <w:r>
        <w:t xml:space="preserve"> </w:t>
      </w:r>
      <w:r>
        <w:t xml:space="preserve">IPv4-адрес устройства и обозначение сетевого адаптера.</w:t>
      </w:r>
      <w:r>
        <w:t xml:space="preserve"> </w:t>
      </w:r>
      <w:r>
        <w:t xml:space="preserve">Используйте команду ping для проверки правильности подключения к Интернету. (рис. 1).</w:t>
      </w:r>
    </w:p>
    <w:p>
      <w:pPr>
        <w:pStyle w:val="CaptionedFigure"/>
      </w:pPr>
      <w:r>
        <w:drawing>
          <wp:inline>
            <wp:extent cx="3733800" cy="2546857"/>
            <wp:effectExtent b="0" l="0" r="0" t="0"/>
            <wp:docPr descr="Проверяем правильность подключе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Проверяем правильность подключения</w:t>
      </w:r>
    </w:p>
    <w:p>
      <w:pPr>
        <w:pStyle w:val="BodyText"/>
      </w:pPr>
      <w:r>
        <w:t xml:space="preserve">Добавьте дополнительный адрес к вашему интерфейсу. Проверьте, что адрес добавился. Сравните вывод информации от утилиты ip и от команды ifconfig. Выведите на экран список всех прослушиваемых системой портов UDP и TCP. (рис. 2)</w:t>
      </w:r>
    </w:p>
    <w:p>
      <w:pPr>
        <w:pStyle w:val="CaptionedFigure"/>
      </w:pPr>
      <w:r>
        <w:drawing>
          <wp:inline>
            <wp:extent cx="3733800" cy="2642289"/>
            <wp:effectExtent b="0" l="0" r="0" t="0"/>
            <wp:docPr descr="Выполняем команды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2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Выполняем команды</w:t>
      </w:r>
    </w:p>
    <w:p>
      <w:pPr>
        <w:pStyle w:val="Compact"/>
        <w:numPr>
          <w:ilvl w:val="0"/>
          <w:numId w:val="1003"/>
        </w:numPr>
      </w:pPr>
      <w:r>
        <w:t xml:space="preserve">Управление сетевыми подключениями с помощью nmcli.</w:t>
      </w:r>
    </w:p>
    <w:p>
      <w:pPr>
        <w:pStyle w:val="FirstParagraph"/>
      </w:pPr>
      <w:r>
        <w:t xml:space="preserve">Получите полномочия администратора. Выведите на экран информацию о текущих</w:t>
      </w:r>
      <w:r>
        <w:t xml:space="preserve"> </w:t>
      </w:r>
      <w:r>
        <w:t xml:space="preserve">соединениях. Добавьте Ethernet-соединение с именем dhcp к интерфейсу. Добавьте к этому же интерфейсу Ethernet-соединение с именем static, статическим</w:t>
      </w:r>
      <w:r>
        <w:t xml:space="preserve"> </w:t>
      </w:r>
      <w:r>
        <w:t xml:space="preserve">IPv4-адресом адаптера и статическим адресом шлюза. Выведите информацию о текущих соединениях. Переключитесь на статическое соединение. Вернитесь к соединению dhcp.</w:t>
      </w:r>
      <w:r>
        <w:t xml:space="preserve"> </w:t>
      </w:r>
      <w:r>
        <w:t xml:space="preserve">Проверьте успешность переключения при помощи nmcli connection show</w:t>
      </w:r>
      <w:r>
        <w:t xml:space="preserve"> </w:t>
      </w:r>
      <w:r>
        <w:t xml:space="preserve">и ip addr (рис. 3)</w:t>
      </w:r>
    </w:p>
    <w:p>
      <w:pPr>
        <w:pStyle w:val="CaptionedFigure"/>
      </w:pPr>
      <w:r>
        <w:drawing>
          <wp:inline>
            <wp:extent cx="3733800" cy="2635623"/>
            <wp:effectExtent b="0" l="0" r="0" t="0"/>
            <wp:docPr descr="Проверяем подключени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Проверяем подключение</w:t>
      </w:r>
    </w:p>
    <w:p>
      <w:pPr>
        <w:pStyle w:val="Compact"/>
        <w:numPr>
          <w:ilvl w:val="0"/>
          <w:numId w:val="1004"/>
        </w:numPr>
      </w:pPr>
      <w:r>
        <w:t xml:space="preserve">Изменение параметров соединения с помощью nmcli.</w:t>
      </w:r>
    </w:p>
    <w:p>
      <w:pPr>
        <w:pStyle w:val="FirstParagraph"/>
      </w:pPr>
      <w:r>
        <w:t xml:space="preserve">Отключите автоподключение статического соединения. Добавьте DNS-сервер в статическое соединение.</w:t>
      </w:r>
      <w:r>
        <w:t xml:space="preserve"> </w:t>
      </w:r>
      <w:r>
        <w:t xml:space="preserve">Обратите внимание, что при добавлении сетевого подключения используется ip4,</w:t>
      </w:r>
      <w:r>
        <w:t xml:space="preserve"> </w:t>
      </w:r>
      <w:r>
        <w:t xml:space="preserve">а при изменении параметров для существующего соединения используется ipv4.</w:t>
      </w:r>
      <w:r>
        <w:t xml:space="preserve"> </w:t>
      </w:r>
      <w:r>
        <w:t xml:space="preserve">Для добавления второго и последующих элементов для тех же параметров использу-</w:t>
      </w:r>
      <w:r>
        <w:t xml:space="preserve"> </w:t>
      </w:r>
      <w:r>
        <w:t xml:space="preserve">ется знак +. Если этот знак проигнорировать, то произойдёт замена, а не добавление</w:t>
      </w:r>
      <w:r>
        <w:t xml:space="preserve"> </w:t>
      </w:r>
      <w:r>
        <w:t xml:space="preserve">элемента. Добавьте второй DNS-сервер. Измените IP-адрес статического соединения. Добавьте другой IP-адрес для статического соединения. После изменения свойств соединения активируйте его.</w:t>
      </w:r>
      <w:r>
        <w:t xml:space="preserve"> </w:t>
      </w:r>
      <w:r>
        <w:t xml:space="preserve">Проверьте успешность переключения при помощи nmcli con show и ip addr.</w:t>
      </w:r>
      <w:r>
        <w:t xml:space="preserve"> </w:t>
      </w:r>
      <w:r>
        <w:t xml:space="preserve">Используя nmtui, посмотрите и опишите в отчёте настройки сети на устройстве.</w:t>
      </w:r>
      <w:r>
        <w:t xml:space="preserve"> </w:t>
      </w:r>
      <w:r>
        <w:t xml:space="preserve">Посмотрите настройки сетевых соединений в графическом интерфейсе операционной</w:t>
      </w:r>
      <w:r>
        <w:t xml:space="preserve"> </w:t>
      </w:r>
      <w:r>
        <w:t xml:space="preserve">системы.</w:t>
      </w:r>
      <w:r>
        <w:t xml:space="preserve"> </w:t>
      </w:r>
      <w:r>
        <w:t xml:space="preserve">Переключитесь на первоначальное сетевое соединение (рис. 4)</w:t>
      </w:r>
    </w:p>
    <w:p>
      <w:pPr>
        <w:pStyle w:val="CaptionedFigure"/>
      </w:pPr>
      <w:r>
        <w:drawing>
          <wp:inline>
            <wp:extent cx="3733800" cy="2436668"/>
            <wp:effectExtent b="0" l="0" r="0" t="0"/>
            <wp:docPr descr="Переключаемся на первоначальное соединение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Переключаемся на первоначальное соединение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получить навыки настройки сетевых параметров системы.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Кичигина Полина Евгеньевна</dc:creator>
  <dc:language>ru-RU</dc:language>
  <cp:keywords/>
  <dcterms:created xsi:type="dcterms:W3CDTF">2025-11-22T18:12:12Z</dcterms:created>
  <dcterms:modified xsi:type="dcterms:W3CDTF">2025-11-22T18:12:12Z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