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48.png" ContentType="image/png"/>
  <Override PartName="/word/media/rId51.png" ContentType="image/png"/>
  <Override PartName="/word/media/rId24.png" ContentType="image/png"/>
  <Override PartName="/word/media/rId27.png" ContentType="image/png"/>
  <Override PartName="/word/media/rId30.png" ContentType="image/png"/>
  <Override PartName="/word/media/rId33.png" ContentType="image/png"/>
  <Override PartName="/word/media/rId36.png" ContentType="image/png"/>
  <Override PartName="/word/media/rId39.png" ContentType="image/png"/>
  <Override PartName="/word/media/rId42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</w:t>
      </w:r>
      <w:r>
        <w:t xml:space="preserve"> </w:t>
      </w:r>
      <w:r>
        <w:t xml:space="preserve">по</w:t>
      </w:r>
      <w:r>
        <w:t xml:space="preserve"> </w:t>
      </w:r>
      <w:r>
        <w:t xml:space="preserve">лабораторной</w:t>
      </w:r>
      <w:r>
        <w:t xml:space="preserve"> </w:t>
      </w:r>
      <w:r>
        <w:t xml:space="preserve">работе</w:t>
      </w:r>
      <w:r>
        <w:t xml:space="preserve"> </w:t>
      </w:r>
      <w:r>
        <w:t xml:space="preserve">№5</w:t>
      </w:r>
    </w:p>
    <w:p>
      <w:pPr>
        <w:pStyle w:val="Subtitle"/>
      </w:pPr>
      <w:r>
        <w:t xml:space="preserve">Отчет</w:t>
      </w:r>
    </w:p>
    <w:p>
      <w:pPr>
        <w:pStyle w:val="Author"/>
      </w:pPr>
      <w:r>
        <w:t xml:space="preserve">Кичигина</w:t>
      </w:r>
      <w:r>
        <w:t xml:space="preserve"> </w:t>
      </w:r>
      <w:r>
        <w:t xml:space="preserve">Полина</w:t>
      </w:r>
      <w:r>
        <w:t xml:space="preserve"> </w:t>
      </w:r>
      <w:r>
        <w:t xml:space="preserve">Евгеньевна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Настройка рабочей среды Linux.</w:t>
      </w:r>
    </w:p>
    <w:bookmarkEnd w:id="20"/>
    <w:bookmarkStart w:id="54" w:name="выполнение-лабораторной-работы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Выполнение лабораторной работы</w:t>
      </w:r>
    </w:p>
    <w:p>
      <w:pPr>
        <w:pStyle w:val="Compact"/>
        <w:numPr>
          <w:ilvl w:val="0"/>
          <w:numId w:val="1001"/>
        </w:numPr>
      </w:pPr>
      <w:r>
        <w:t xml:space="preserve">Менеджер паролей pass</w:t>
      </w:r>
    </w:p>
    <w:p>
      <w:pPr>
        <w:pStyle w:val="FirstParagraph"/>
      </w:pPr>
      <w:r>
        <w:t xml:space="preserve">Установка (рис. 1)</w:t>
      </w:r>
    </w:p>
    <w:p>
      <w:pPr>
        <w:pStyle w:val="CaptionedFigure"/>
      </w:pPr>
      <w:r>
        <w:drawing>
          <wp:inline>
            <wp:extent cx="3733800" cy="1200543"/>
            <wp:effectExtent b="0" l="0" r="0" t="0"/>
            <wp:docPr descr="pass" title="" id="22" name="Picture"/>
            <a:graphic>
              <a:graphicData uri="http://schemas.openxmlformats.org/drawingml/2006/picture">
                <pic:pic>
                  <pic:nvPicPr>
                    <pic:cNvPr descr="image/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2005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1: pass</w:t>
      </w:r>
    </w:p>
    <w:p>
      <w:pPr>
        <w:pStyle w:val="Compact"/>
        <w:numPr>
          <w:ilvl w:val="0"/>
          <w:numId w:val="1002"/>
        </w:numPr>
      </w:pPr>
      <w:r>
        <w:t xml:space="preserve">Настройка</w:t>
      </w:r>
    </w:p>
    <w:p>
      <w:pPr>
        <w:pStyle w:val="FirstParagraph"/>
      </w:pPr>
      <w:r>
        <w:t xml:space="preserve">Ключи GPG и инициализация хранилища (рис. 2)</w:t>
      </w:r>
    </w:p>
    <w:p>
      <w:pPr>
        <w:pStyle w:val="CaptionedFigure"/>
      </w:pPr>
      <w:r>
        <w:drawing>
          <wp:inline>
            <wp:extent cx="3733800" cy="2065154"/>
            <wp:effectExtent b="0" l="0" r="0" t="0"/>
            <wp:docPr descr="смотрим ключи и создаем каталог" title="" id="25" name="Picture"/>
            <a:graphic>
              <a:graphicData uri="http://schemas.openxmlformats.org/drawingml/2006/picture">
                <pic:pic>
                  <pic:nvPicPr>
                    <pic:cNvPr descr="image/2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0651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2: смотрим ключи и создаем каталог</w:t>
      </w:r>
    </w:p>
    <w:p>
      <w:pPr>
        <w:pStyle w:val="Compact"/>
        <w:numPr>
          <w:ilvl w:val="0"/>
          <w:numId w:val="1003"/>
        </w:numPr>
      </w:pPr>
      <w:r>
        <w:t xml:space="preserve">Создание репозитория</w:t>
      </w:r>
    </w:p>
    <w:p>
      <w:pPr>
        <w:pStyle w:val="FirstParagraph"/>
      </w:pPr>
      <w:r>
        <w:t xml:space="preserve">Создаем новый репозиторий на github (рис. 3)</w:t>
      </w:r>
    </w:p>
    <w:p>
      <w:pPr>
        <w:pStyle w:val="CaptionedFigure"/>
      </w:pPr>
      <w:r>
        <w:drawing>
          <wp:inline>
            <wp:extent cx="3733800" cy="2377380"/>
            <wp:effectExtent b="0" l="0" r="0" t="0"/>
            <wp:docPr descr="репозиторий pass" title="" id="28" name="Picture"/>
            <a:graphic>
              <a:graphicData uri="http://schemas.openxmlformats.org/drawingml/2006/picture">
                <pic:pic>
                  <pic:nvPicPr>
                    <pic:cNvPr descr="image/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3773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3: репозиторий pass</w:t>
      </w:r>
    </w:p>
    <w:p>
      <w:pPr>
        <w:pStyle w:val="Compact"/>
        <w:numPr>
          <w:ilvl w:val="0"/>
          <w:numId w:val="1004"/>
        </w:numPr>
      </w:pPr>
      <w:r>
        <w:t xml:space="preserve">Синхронизация с git</w:t>
      </w:r>
    </w:p>
    <w:p>
      <w:pPr>
        <w:pStyle w:val="FirstParagraph"/>
      </w:pPr>
      <w:r>
        <w:t xml:space="preserve">Создадим структуру git. Также можно задать адрес репозитория на хостинге (рис. 4)</w:t>
      </w:r>
    </w:p>
    <w:p>
      <w:pPr>
        <w:pStyle w:val="CaptionedFigure"/>
      </w:pPr>
      <w:r>
        <w:drawing>
          <wp:inline>
            <wp:extent cx="3733800" cy="2268027"/>
            <wp:effectExtent b="0" l="0" r="0" t="0"/>
            <wp:docPr descr="структура git" title="" id="31" name="Picture"/>
            <a:graphic>
              <a:graphicData uri="http://schemas.openxmlformats.org/drawingml/2006/picture">
                <pic:pic>
                  <pic:nvPicPr>
                    <pic:cNvPr descr="image/4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2680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4: структура git</w:t>
      </w:r>
    </w:p>
    <w:p>
      <w:pPr>
        <w:pStyle w:val="Compact"/>
        <w:numPr>
          <w:ilvl w:val="0"/>
          <w:numId w:val="1005"/>
        </w:numPr>
      </w:pPr>
      <w:r>
        <w:t xml:space="preserve">Прямые изменения</w:t>
      </w:r>
    </w:p>
    <w:p>
      <w:pPr>
        <w:pStyle w:val="FirstParagraph"/>
      </w:pPr>
      <w:r>
        <w:t xml:space="preserve">Следует заметить, что отслеживаются только изменения, сделанные через сам gopass (или pass). Если изменения сделаны непосредственно на файловой системе, необходимо вручную закоммитить и выложить изменения (рис. 5)</w:t>
      </w:r>
    </w:p>
    <w:p>
      <w:pPr>
        <w:pStyle w:val="CaptionedFigure"/>
      </w:pPr>
      <w:r>
        <w:drawing>
          <wp:inline>
            <wp:extent cx="3733800" cy="1554768"/>
            <wp:effectExtent b="0" l="0" r="0" t="0"/>
            <wp:docPr descr="выкладываем изменения" title="" id="34" name="Picture"/>
            <a:graphic>
              <a:graphicData uri="http://schemas.openxmlformats.org/drawingml/2006/picture">
                <pic:pic>
                  <pic:nvPicPr>
                    <pic:cNvPr descr="image/5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5547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5: выкладываем изменения</w:t>
      </w:r>
    </w:p>
    <w:p>
      <w:pPr>
        <w:pStyle w:val="Compact"/>
        <w:numPr>
          <w:ilvl w:val="0"/>
          <w:numId w:val="1006"/>
        </w:numPr>
      </w:pPr>
      <w:r>
        <w:t xml:space="preserve">Настройка интерфейса с броузером</w:t>
      </w:r>
    </w:p>
    <w:p>
      <w:pPr>
        <w:pStyle w:val="FirstParagraph"/>
      </w:pPr>
      <w:r>
        <w:t xml:space="preserve">Для взаимодействия с броузером используется интерфейс native messaging. Поэтому кроме плагина к броузеру устанавливается программа, обеспечивающая интерфейс native messaging (рис. 6)</w:t>
      </w:r>
    </w:p>
    <w:p>
      <w:pPr>
        <w:pStyle w:val="CaptionedFigure"/>
      </w:pPr>
      <w:r>
        <w:drawing>
          <wp:inline>
            <wp:extent cx="3733800" cy="4288135"/>
            <wp:effectExtent b="0" l="0" r="0" t="0"/>
            <wp:docPr descr="Плагин browserpass" title="" id="37" name="Picture"/>
            <a:graphic>
              <a:graphicData uri="http://schemas.openxmlformats.org/drawingml/2006/picture">
                <pic:pic>
                  <pic:nvPicPr>
                    <pic:cNvPr descr="image/6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4288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6: Плагин browserpass</w:t>
      </w:r>
    </w:p>
    <w:p>
      <w:pPr>
        <w:pStyle w:val="Compact"/>
        <w:numPr>
          <w:ilvl w:val="0"/>
          <w:numId w:val="1007"/>
        </w:numPr>
      </w:pPr>
      <w:r>
        <w:t xml:space="preserve">Сохранение пароля</w:t>
      </w:r>
    </w:p>
    <w:p>
      <w:pPr>
        <w:pStyle w:val="FirstParagraph"/>
      </w:pPr>
      <w:r>
        <w:t xml:space="preserve">Добавить новый пароль, отобразить пароль для указанного имени файла и заменить существующий пароль (рис. 7)</w:t>
      </w:r>
    </w:p>
    <w:p>
      <w:pPr>
        <w:pStyle w:val="CaptionedFigure"/>
      </w:pPr>
      <w:r>
        <w:drawing>
          <wp:inline>
            <wp:extent cx="3733800" cy="4073808"/>
            <wp:effectExtent b="0" l="0" r="0" t="0"/>
            <wp:docPr descr="создаем пароль" title="" id="40" name="Picture"/>
            <a:graphic>
              <a:graphicData uri="http://schemas.openxmlformats.org/drawingml/2006/picture">
                <pic:pic>
                  <pic:nvPicPr>
                    <pic:cNvPr descr="image/7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40738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7: создаем пароль</w:t>
      </w:r>
    </w:p>
    <w:p>
      <w:pPr>
        <w:pStyle w:val="Compact"/>
        <w:numPr>
          <w:ilvl w:val="0"/>
          <w:numId w:val="1008"/>
        </w:numPr>
      </w:pPr>
      <w:r>
        <w:t xml:space="preserve">Дополнительное программное обеспечение</w:t>
      </w:r>
    </w:p>
    <w:p>
      <w:pPr>
        <w:pStyle w:val="FirstParagraph"/>
      </w:pPr>
      <w:r>
        <w:t xml:space="preserve">Установите дополнительное программное обеспечение (рис. 8)</w:t>
      </w:r>
    </w:p>
    <w:p>
      <w:pPr>
        <w:pStyle w:val="CaptionedFigure"/>
      </w:pPr>
      <w:r>
        <w:drawing>
          <wp:inline>
            <wp:extent cx="3733800" cy="2659693"/>
            <wp:effectExtent b="0" l="0" r="0" t="0"/>
            <wp:docPr descr="Устанавливаем" title="" id="43" name="Picture"/>
            <a:graphic>
              <a:graphicData uri="http://schemas.openxmlformats.org/drawingml/2006/picture">
                <pic:pic>
                  <pic:nvPicPr>
                    <pic:cNvPr descr="image/8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6596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8: Устанавливаем</w:t>
      </w:r>
    </w:p>
    <w:p>
      <w:pPr>
        <w:pStyle w:val="Compact"/>
        <w:numPr>
          <w:ilvl w:val="0"/>
          <w:numId w:val="1009"/>
        </w:numPr>
      </w:pPr>
      <w:r>
        <w:t xml:space="preserve">Установка</w:t>
      </w:r>
    </w:p>
    <w:p>
      <w:pPr>
        <w:pStyle w:val="FirstParagraph"/>
      </w:pPr>
      <w:r>
        <w:t xml:space="preserve">Установка бинарного файла. Скрипт определяет архитектуру процессора и операционную систему и скачивает необходимый файл.</w:t>
      </w:r>
      <w:r>
        <w:t xml:space="preserve"> </w:t>
      </w:r>
      <w:r>
        <w:t xml:space="preserve">Создадим свой репозиторий для конфигурационных файлов на основе шаблона. Инициализируйте chezmoi с вашим репозиторием dotfiles (рис. 9)</w:t>
      </w:r>
    </w:p>
    <w:p>
      <w:pPr>
        <w:pStyle w:val="CaptionedFigure"/>
      </w:pPr>
      <w:r>
        <w:drawing>
          <wp:inline>
            <wp:extent cx="3733800" cy="2038600"/>
            <wp:effectExtent b="0" l="0" r="0" t="0"/>
            <wp:docPr descr="Создание и подключение репозитория к своей системе" title="" id="46" name="Picture"/>
            <a:graphic>
              <a:graphicData uri="http://schemas.openxmlformats.org/drawingml/2006/picture">
                <pic:pic>
                  <pic:nvPicPr>
                    <pic:cNvPr descr="image/9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03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9: Создание и подключение репозитория к своей системе</w:t>
      </w:r>
    </w:p>
    <w:p>
      <w:pPr>
        <w:pStyle w:val="Compact"/>
        <w:numPr>
          <w:ilvl w:val="0"/>
          <w:numId w:val="1010"/>
        </w:numPr>
      </w:pPr>
      <w:r>
        <w:t xml:space="preserve">Ежедневные операции c chezmoi</w:t>
      </w:r>
    </w:p>
    <w:p>
      <w:pPr>
        <w:pStyle w:val="FirstParagraph"/>
      </w:pPr>
      <w:r>
        <w:t xml:space="preserve">Извлеките последние изменения из репозитория и примените их. Извлеките последние изменения из своего репозитория и посмотрите, что изменится, фактически не применяя изменения (рис. 10)</w:t>
      </w:r>
    </w:p>
    <w:p>
      <w:pPr>
        <w:pStyle w:val="CaptionedFigure"/>
      </w:pPr>
      <w:r>
        <w:drawing>
          <wp:inline>
            <wp:extent cx="3733800" cy="1880093"/>
            <wp:effectExtent b="0" l="0" r="0" t="0"/>
            <wp:docPr descr="Применяем изменения" title="" id="49" name="Picture"/>
            <a:graphic>
              <a:graphicData uri="http://schemas.openxmlformats.org/drawingml/2006/picture">
                <pic:pic>
                  <pic:nvPicPr>
                    <pic:cNvPr descr="image/10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880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10: Применяем изменения</w:t>
      </w:r>
    </w:p>
    <w:p>
      <w:pPr>
        <w:pStyle w:val="Compact"/>
        <w:numPr>
          <w:ilvl w:val="0"/>
          <w:numId w:val="1011"/>
        </w:numPr>
      </w:pPr>
      <w:r>
        <w:t xml:space="preserve">Автоматически фиксируйте и отправляйте изменения в репозиторий</w:t>
      </w:r>
    </w:p>
    <w:p>
      <w:pPr>
        <w:pStyle w:val="FirstParagraph"/>
      </w:pPr>
      <w:r>
        <w:t xml:space="preserve">Можно автоматически фиксировать и отправлять изменения в исходный каталог в репозиторий. Эта функция отключена по умолчанию. Чтобы включить её, добавьте в файл конфигурации ~/.config/chezmoi/chezmoi.toml следующее (рис. 11)</w:t>
      </w:r>
    </w:p>
    <w:p>
      <w:pPr>
        <w:pStyle w:val="CaptionedFigure"/>
      </w:pPr>
      <w:r>
        <w:drawing>
          <wp:inline>
            <wp:extent cx="3733800" cy="1509550"/>
            <wp:effectExtent b="0" l="0" r="0" t="0"/>
            <wp:docPr descr="Редактируем файл" title="" id="52" name="Picture"/>
            <a:graphic>
              <a:graphicData uri="http://schemas.openxmlformats.org/drawingml/2006/picture">
                <pic:pic>
                  <pic:nvPicPr>
                    <pic:cNvPr descr="image/1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509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11: Редактируем файл</w:t>
      </w:r>
    </w:p>
    <w:bookmarkEnd w:id="54"/>
    <w:bookmarkStart w:id="55" w:name="выводы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Выводы</w:t>
      </w:r>
    </w:p>
    <w:p>
      <w:pPr>
        <w:pStyle w:val="FirstParagraph"/>
      </w:pPr>
      <w:r>
        <w:t xml:space="preserve">Мы научились настраивать рабочую среду Linux.</w:t>
      </w:r>
    </w:p>
    <w:bookmarkEnd w:id="5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8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9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0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1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48" Target="media/rId48.png" /><Relationship Type="http://schemas.openxmlformats.org/officeDocument/2006/relationships/image" Id="rId51" Target="media/rId51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45" Target="media/rId4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№5</dc:title>
  <dc:creator>Кичигина Полина Евгеньевна</dc:creator>
  <dc:language>ru-RU</dc:language>
  <cp:keywords/>
  <dcterms:created xsi:type="dcterms:W3CDTF">2025-03-21T17:44:01Z</dcterms:created>
  <dcterms:modified xsi:type="dcterms:W3CDTF">2025-03-21T17:44:01Z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IndexTemplate">
    <vt:lpwstr>(i)</vt:lpwstr>
  </property>
  <property fmtid="{D5CDD505-2E9C-101B-9397-08002B2CF9AE}" pid="25" name="eqnInlineTemplate">
    <vt:lpwstr>eequationNumberTeX{i}</vt:lpwstr>
  </property>
  <property fmtid="{D5CDD505-2E9C-101B-9397-08002B2CF9AE}" pid="26" name="eqnPrefix">
    <vt:lpwstr/>
  </property>
  <property fmtid="{D5CDD505-2E9C-101B-9397-08002B2CF9AE}" pid="27" name="eqnPrefixTemplate">
    <vt:lpwstr>p i</vt:lpwstr>
  </property>
  <property fmtid="{D5CDD505-2E9C-101B-9397-08002B2CF9AE}" pid="28" name="equationNumberTeX">
    <vt:lpwstr>\qquad</vt:lpwstr>
  </property>
  <property fmtid="{D5CDD505-2E9C-101B-9397-08002B2CF9AE}" pid="29" name="figLabels">
    <vt:lpwstr>arabic</vt:lpwstr>
  </property>
  <property fmtid="{D5CDD505-2E9C-101B-9397-08002B2CF9AE}" pid="30" name="figPrefix">
    <vt:lpwstr/>
  </property>
  <property fmtid="{D5CDD505-2E9C-101B-9397-08002B2CF9AE}" pid="31" name="figPrefixTemplate">
    <vt:lpwstr>p i</vt:lpwstr>
  </property>
  <property fmtid="{D5CDD505-2E9C-101B-9397-08002B2CF9AE}" pid="32" name="figureTemplate">
    <vt:lpwstr>figureTitle ititleDelim t</vt:lpwstr>
  </property>
  <property fmtid="{D5CDD505-2E9C-101B-9397-08002B2CF9AE}" pid="33" name="figureTitle">
    <vt:lpwstr>Рис.</vt:lpwstr>
  </property>
  <property fmtid="{D5CDD505-2E9C-101B-9397-08002B2CF9AE}" pid="34" name="fontsize">
    <vt:lpwstr>12pt</vt:lpwstr>
  </property>
  <property fmtid="{D5CDD505-2E9C-101B-9397-08002B2CF9AE}" pid="35" name="header-includes">
    <vt:lpwstr/>
  </property>
  <property fmtid="{D5CDD505-2E9C-101B-9397-08002B2CF9AE}" pid="36" name="indent">
    <vt:lpwstr>True</vt:lpwstr>
  </property>
  <property fmtid="{D5CDD505-2E9C-101B-9397-08002B2CF9AE}" pid="37" name="lastDelim">
    <vt:lpwstr>, </vt:lpwstr>
  </property>
  <property fmtid="{D5CDD505-2E9C-101B-9397-08002B2CF9AE}" pid="38" name="linestretch">
    <vt:lpwstr>1.5</vt:lpwstr>
  </property>
  <property fmtid="{D5CDD505-2E9C-101B-9397-08002B2CF9AE}" pid="39" name="linkReferences">
    <vt:lpwstr>False</vt:lpwstr>
  </property>
  <property fmtid="{D5CDD505-2E9C-101B-9397-08002B2CF9AE}" pid="40" name="listItemTitleDelim">
    <vt:lpwstr>.</vt:lpwstr>
  </property>
  <property fmtid="{D5CDD505-2E9C-101B-9397-08002B2CF9AE}" pid="41" name="listingTemplate">
    <vt:lpwstr>listingTitle ititleDelim t</vt:lpwstr>
  </property>
  <property fmtid="{D5CDD505-2E9C-101B-9397-08002B2CF9AE}" pid="42" name="listingTitle">
    <vt:lpwstr>Листинг</vt:lpwstr>
  </property>
  <property fmtid="{D5CDD505-2E9C-101B-9397-08002B2CF9AE}" pid="43" name="listings">
    <vt:lpwstr>False</vt:lpwstr>
  </property>
  <property fmtid="{D5CDD505-2E9C-101B-9397-08002B2CF9AE}" pid="44" name="lof">
    <vt:lpwstr>True</vt:lpwstr>
  </property>
  <property fmtid="{D5CDD505-2E9C-101B-9397-08002B2CF9AE}" pid="45" name="lofItemTemplate">
    <vt:lpwstr>lofItemTitleilistItemTitleDelimt </vt:lpwstr>
  </property>
  <property fmtid="{D5CDD505-2E9C-101B-9397-08002B2CF9AE}" pid="46" name="lofItemTitle">
    <vt:lpwstr/>
  </property>
  <property fmtid="{D5CDD505-2E9C-101B-9397-08002B2CF9AE}" pid="47" name="lofTitle">
    <vt:lpwstr>Список иллюстраций</vt:lpwstr>
  </property>
  <property fmtid="{D5CDD505-2E9C-101B-9397-08002B2CF9AE}" pid="48" name="lolItemTemplate">
    <vt:lpwstr>lolItemTitleilistItemTitleDelimt </vt:lpwstr>
  </property>
  <property fmtid="{D5CDD505-2E9C-101B-9397-08002B2CF9AE}" pid="49" name="lolItemTitle">
    <vt:lpwstr/>
  </property>
  <property fmtid="{D5CDD505-2E9C-101B-9397-08002B2CF9AE}" pid="50" name="lolTitle">
    <vt:lpwstr>Листинги</vt:lpwstr>
  </property>
  <property fmtid="{D5CDD505-2E9C-101B-9397-08002B2CF9AE}" pid="51" name="lot">
    <vt:lpwstr>True</vt:lpwstr>
  </property>
  <property fmtid="{D5CDD505-2E9C-101B-9397-08002B2CF9AE}" pid="52" name="lotItemTemplate">
    <vt:lpwstr>lotItemTitleilistItemTitleDelimt </vt:lpwstr>
  </property>
  <property fmtid="{D5CDD505-2E9C-101B-9397-08002B2CF9AE}" pid="53" name="lotItemTitle">
    <vt:lpwstr/>
  </property>
  <property fmtid="{D5CDD505-2E9C-101B-9397-08002B2CF9AE}" pid="54" name="lotTitle">
    <vt:lpwstr>Список таблиц</vt:lpwstr>
  </property>
  <property fmtid="{D5CDD505-2E9C-101B-9397-08002B2CF9AE}" pid="55" name="lstLabels">
    <vt:lpwstr>arabic</vt:lpwstr>
  </property>
  <property fmtid="{D5CDD505-2E9C-101B-9397-08002B2CF9AE}" pid="56" name="lstPrefix">
    <vt:lpwstr/>
  </property>
  <property fmtid="{D5CDD505-2E9C-101B-9397-08002B2CF9AE}" pid="57" name="lstPrefixTemplate">
    <vt:lpwstr>p i</vt:lpwstr>
  </property>
  <property fmtid="{D5CDD505-2E9C-101B-9397-08002B2CF9AE}" pid="58" name="mainfont">
    <vt:lpwstr>IBM Plex Serif</vt:lpwstr>
  </property>
  <property fmtid="{D5CDD505-2E9C-101B-9397-08002B2CF9AE}" pid="59" name="mainfontoptions">
    <vt:lpwstr>Ligatures=Common,Ligatures=TeX,Scale=0.94</vt:lpwstr>
  </property>
  <property fmtid="{D5CDD505-2E9C-101B-9397-08002B2CF9AE}" pid="60" name="mathfont">
    <vt:lpwstr>STIX Two Math</vt:lpwstr>
  </property>
  <property fmtid="{D5CDD505-2E9C-101B-9397-08002B2CF9AE}" pid="61" name="mathfontoptions">
    <vt:lpwstr/>
  </property>
  <property fmtid="{D5CDD505-2E9C-101B-9397-08002B2CF9AE}" pid="62" name="monofont">
    <vt:lpwstr>IBM Plex Mono</vt:lpwstr>
  </property>
  <property fmtid="{D5CDD505-2E9C-101B-9397-08002B2CF9AE}" pid="63" name="monofontoptions">
    <vt:lpwstr>Scale=MatchLowercase,Scale=0.94,FakeStretch=0.9</vt:lpwstr>
  </property>
  <property fmtid="{D5CDD505-2E9C-101B-9397-08002B2CF9AE}" pid="64" name="nameInLink">
    <vt:lpwstr>False</vt:lpwstr>
  </property>
  <property fmtid="{D5CDD505-2E9C-101B-9397-08002B2CF9AE}" pid="65" name="numberSections">
    <vt:lpwstr>False</vt:lpwstr>
  </property>
  <property fmtid="{D5CDD505-2E9C-101B-9397-08002B2CF9AE}" pid="66" name="pairDelim">
    <vt:lpwstr>, </vt:lpwstr>
  </property>
  <property fmtid="{D5CDD505-2E9C-101B-9397-08002B2CF9AE}" pid="67" name="papersize">
    <vt:lpwstr>a4</vt:lpwstr>
  </property>
  <property fmtid="{D5CDD505-2E9C-101B-9397-08002B2CF9AE}" pid="68" name="polyglossia-lang">
    <vt:lpwstr/>
  </property>
  <property fmtid="{D5CDD505-2E9C-101B-9397-08002B2CF9AE}" pid="69" name="polyglossia-otherlangs">
    <vt:lpwstr/>
  </property>
  <property fmtid="{D5CDD505-2E9C-101B-9397-08002B2CF9AE}" pid="70" name="rangeDelim">
    <vt:lpwstr>-</vt:lpwstr>
  </property>
  <property fmtid="{D5CDD505-2E9C-101B-9397-08002B2CF9AE}" pid="71" name="refDelim">
    <vt:lpwstr>, </vt:lpwstr>
  </property>
  <property fmtid="{D5CDD505-2E9C-101B-9397-08002B2CF9AE}" pid="72" name="refIndexTemplate">
    <vt:lpwstr>isuf</vt:lpwstr>
  </property>
  <property fmtid="{D5CDD505-2E9C-101B-9397-08002B2CF9AE}" pid="73" name="romanfont">
    <vt:lpwstr>IBM Plex Serif</vt:lpwstr>
  </property>
  <property fmtid="{D5CDD505-2E9C-101B-9397-08002B2CF9AE}" pid="74" name="romanfontoptions">
    <vt:lpwstr>Ligatures=Common,Ligatures=TeX,Scale=0.94</vt:lpwstr>
  </property>
  <property fmtid="{D5CDD505-2E9C-101B-9397-08002B2CF9AE}" pid="75" name="sansfont">
    <vt:lpwstr>IBM Plex Sans</vt:lpwstr>
  </property>
  <property fmtid="{D5CDD505-2E9C-101B-9397-08002B2CF9AE}" pid="76" name="sansfontoptions">
    <vt:lpwstr>Ligatures=Common,Ligatures=TeX,Scale=MatchLowercase,Scale=0.94</vt:lpwstr>
  </property>
  <property fmtid="{D5CDD505-2E9C-101B-9397-08002B2CF9AE}" pid="77" name="secHeaderDelim">
    <vt:lpwstr> </vt:lpwstr>
  </property>
  <property fmtid="{D5CDD505-2E9C-101B-9397-08002B2CF9AE}" pid="78" name="secHeaderTemplate">
    <vt:lpwstr>isecHeaderDelim[n]t</vt:lpwstr>
  </property>
  <property fmtid="{D5CDD505-2E9C-101B-9397-08002B2CF9AE}" pid="79" name="secLabels">
    <vt:lpwstr>arabic</vt:lpwstr>
  </property>
  <property fmtid="{D5CDD505-2E9C-101B-9397-08002B2CF9AE}" pid="80" name="secPrefix">
    <vt:lpwstr/>
  </property>
  <property fmtid="{D5CDD505-2E9C-101B-9397-08002B2CF9AE}" pid="81" name="secPrefixTemplate">
    <vt:lpwstr>p i</vt:lpwstr>
  </property>
  <property fmtid="{D5CDD505-2E9C-101B-9397-08002B2CF9AE}" pid="82" name="sectionsDepth">
    <vt:lpwstr>0</vt:lpwstr>
  </property>
  <property fmtid="{D5CDD505-2E9C-101B-9397-08002B2CF9AE}" pid="83" name="subfigGrid">
    <vt:lpwstr>False</vt:lpwstr>
  </property>
  <property fmtid="{D5CDD505-2E9C-101B-9397-08002B2CF9AE}" pid="84" name="subfigLabels">
    <vt:lpwstr>alpha a</vt:lpwstr>
  </property>
  <property fmtid="{D5CDD505-2E9C-101B-9397-08002B2CF9AE}" pid="85" name="subfigureChildTemplate">
    <vt:lpwstr>i</vt:lpwstr>
  </property>
  <property fmtid="{D5CDD505-2E9C-101B-9397-08002B2CF9AE}" pid="86" name="subfigureRefIndexTemplate">
    <vt:lpwstr>isuf (s)</vt:lpwstr>
  </property>
  <property fmtid="{D5CDD505-2E9C-101B-9397-08002B2CF9AE}" pid="87" name="subfigureTemplate">
    <vt:lpwstr>figureTitle ititleDelim t. ccs</vt:lpwstr>
  </property>
  <property fmtid="{D5CDD505-2E9C-101B-9397-08002B2CF9AE}" pid="88" name="subtitle">
    <vt:lpwstr>Отчет</vt:lpwstr>
  </property>
  <property fmtid="{D5CDD505-2E9C-101B-9397-08002B2CF9AE}" pid="89" name="tableEqns">
    <vt:lpwstr>False</vt:lpwstr>
  </property>
  <property fmtid="{D5CDD505-2E9C-101B-9397-08002B2CF9AE}" pid="90" name="tableTemplate">
    <vt:lpwstr>tableTitle ititleDelim t</vt:lpwstr>
  </property>
  <property fmtid="{D5CDD505-2E9C-101B-9397-08002B2CF9AE}" pid="91" name="tableTitle">
    <vt:lpwstr>Таблица</vt:lpwstr>
  </property>
  <property fmtid="{D5CDD505-2E9C-101B-9397-08002B2CF9AE}" pid="92" name="tblLabels">
    <vt:lpwstr>arabic</vt:lpwstr>
  </property>
  <property fmtid="{D5CDD505-2E9C-101B-9397-08002B2CF9AE}" pid="93" name="tblPrefix">
    <vt:lpwstr/>
  </property>
  <property fmtid="{D5CDD505-2E9C-101B-9397-08002B2CF9AE}" pid="94" name="tblPrefixTemplate">
    <vt:lpwstr>p i</vt:lpwstr>
  </property>
  <property fmtid="{D5CDD505-2E9C-101B-9397-08002B2CF9AE}" pid="95" name="titleDelim">
    <vt:lpwstr>:</vt:lpwstr>
  </property>
  <property fmtid="{D5CDD505-2E9C-101B-9397-08002B2CF9AE}" pid="96" name="toc">
    <vt:lpwstr>True</vt:lpwstr>
  </property>
  <property fmtid="{D5CDD505-2E9C-101B-9397-08002B2CF9AE}" pid="97" name="toc-depth">
    <vt:lpwstr>2</vt:lpwstr>
  </property>
  <property fmtid="{D5CDD505-2E9C-101B-9397-08002B2CF9AE}" pid="98" name="toc-title">
    <vt:lpwstr>Содержание</vt:lpwstr>
  </property>
</Properties>
</file>