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Резервное</w:t>
      </w:r>
      <w:r>
        <w:t xml:space="preserve"> </w:t>
      </w:r>
      <w:r>
        <w:t xml:space="preserve">копирование</w:t>
      </w:r>
      <w:r>
        <w:t xml:space="preserve"> </w:t>
      </w:r>
      <w:r>
        <w:t xml:space="preserve">данных</w:t>
      </w:r>
      <w:r>
        <w:t xml:space="preserve"> </w:t>
      </w:r>
      <w:r>
        <w:t xml:space="preserve">с</w:t>
      </w:r>
      <w:r>
        <w:t xml:space="preserve"> </w:t>
      </w:r>
      <w:r>
        <w:t xml:space="preserve">использованием</w:t>
      </w:r>
      <w:r>
        <w:t xml:space="preserve"> </w:t>
      </w:r>
      <w:r>
        <w:t xml:space="preserve">rsync</w:t>
      </w:r>
    </w:p>
    <w:p>
      <w:pPr>
        <w:pStyle w:val="Subtitle"/>
      </w:pPr>
      <w:r>
        <w:t xml:space="preserve">Реферат</w:t>
      </w:r>
    </w:p>
    <w:p>
      <w:pPr>
        <w:pStyle w:val="Author"/>
      </w:pPr>
      <w:r>
        <w:t xml:space="preserve">Кичигина</w:t>
      </w:r>
      <w:r>
        <w:t xml:space="preserve"> </w:t>
      </w:r>
      <w:r>
        <w:t xml:space="preserve">Полина</w:t>
      </w:r>
      <w:r>
        <w:t xml:space="preserve"> </w:t>
      </w:r>
      <w:r>
        <w:t xml:space="preserve">Евгеньевна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bookmarkStart w:id="20" w:name="X4db60c282a77acf4ec6de48f76b59fca3ccc7fb"/>
    <w:p>
      <w:pPr>
        <w:pStyle w:val="Heading1"/>
      </w:pPr>
      <w:r>
        <w:rPr>
          <w:rStyle w:val="SectionNumber"/>
        </w:rPr>
        <w:t xml:space="preserve">1</w:t>
      </w:r>
      <w:r>
        <w:tab/>
      </w:r>
      <w:r>
        <w:t xml:space="preserve">Введение: Зачем нужен rsync для резервного копирования?</w:t>
      </w:r>
    </w:p>
    <w:p>
      <w:pPr>
        <w:pStyle w:val="FirstParagraph"/>
      </w:pPr>
      <w:r>
        <w:t xml:space="preserve">В современном мире защита данных критически важна. Потеря данных может иметь серьёзные последствия. rsync – мощный и популярный инструмент для резервного копирования и синхронизации в Unix-подобных системах. Он выделяется скоростью и эффективностью, копируя только изменения. Это делает его идеальным для регулярного резервного копирования, а также поддерживает удаленную синхронизацию.</w:t>
      </w:r>
    </w:p>
    <w:bookmarkEnd w:id="20"/>
    <w:bookmarkStart w:id="21" w:name="X8f59057516b03b7789a1e24fd46fb1dea02bb36"/>
    <w:p>
      <w:pPr>
        <w:pStyle w:val="Heading1"/>
      </w:pPr>
      <w:r>
        <w:rPr>
          <w:rStyle w:val="SectionNumber"/>
        </w:rPr>
        <w:t xml:space="preserve">2</w:t>
      </w:r>
      <w:r>
        <w:tab/>
      </w:r>
      <w:r>
        <w:t xml:space="preserve">Команда rsync: быстрый и умный инструмент для копирования данных</w:t>
      </w:r>
    </w:p>
    <w:p>
      <w:pPr>
        <w:pStyle w:val="FirstParagraph"/>
      </w:pPr>
      <w:r>
        <w:t xml:space="preserve">Rsync — это один из самых популярных инструментов для копирования и синхронизации данных. Его главная сила в скорости и эффективности. Вместо того чтобы копировать всё подряд, rsync копирует только изменённые файлы. Это делает его идеальным для регулярного резервного копирования больших объёмов данных.</w:t>
      </w:r>
    </w:p>
    <w:bookmarkEnd w:id="21"/>
    <w:bookmarkStart w:id="22" w:name="X2d28a0cad466b7b7d810a97d20a24d21aa25f13"/>
    <w:p>
      <w:pPr>
        <w:pStyle w:val="Heading1"/>
      </w:pPr>
      <w:r>
        <w:rPr>
          <w:rStyle w:val="SectionNumber"/>
        </w:rPr>
        <w:t xml:space="preserve">3</w:t>
      </w:r>
      <w:r>
        <w:tab/>
      </w:r>
      <w:r>
        <w:t xml:space="preserve">Основы работы rsync: Скорость и эффективность</w:t>
      </w:r>
    </w:p>
    <w:p>
      <w:pPr>
        <w:pStyle w:val="FirstParagraph"/>
      </w:pPr>
      <w:r>
        <w:t xml:space="preserve">Основной принцип работы rsync, который обеспечивает его высокую эффективность, – это инкрементальный подход к процессу копирования данных. Вместо того, чтобы перезаписывать весь файл каждый раз при изменении данных, rsync анализирует как исходный, так и целевой файлы, и передает только те фрагменты, которые претерпели изменения. Это достигается за счет использования продвинутого алгоритма, который сравнивает файлы по частям, например, блокам или контрольным суммам, выявляя, какие именно данные необходимо скопировать. Данный механизм значительно сокращает время, затрачиваемое на копирование, и уменьшает объем передаваемого трафика, делая rsync идеальным инструментом для периодического резервного копирования больших объемов данных, включая личные документы, базы данных, файлы веб-сайтов или объемные архивы.</w:t>
      </w:r>
    </w:p>
    <w:bookmarkEnd w:id="22"/>
    <w:bookmarkStart w:id="23" w:name="синтаксис-rsync"/>
    <w:p>
      <w:pPr>
        <w:pStyle w:val="Heading1"/>
      </w:pPr>
      <w:r>
        <w:rPr>
          <w:rStyle w:val="SectionNumber"/>
        </w:rPr>
        <w:t xml:space="preserve">4</w:t>
      </w:r>
      <w:r>
        <w:tab/>
      </w:r>
      <w:r>
        <w:t xml:space="preserve">Синтаксис rsync</w:t>
      </w:r>
    </w:p>
    <w:p>
      <w:pPr>
        <w:pStyle w:val="FirstParagraph"/>
      </w:pPr>
      <w:r>
        <w:t xml:space="preserve">Вот базовый формат команды:</w:t>
      </w:r>
    </w:p>
    <w:p>
      <w:pPr>
        <w:pStyle w:val="BodyText"/>
      </w:pPr>
      <w:r>
        <w:rPr>
          <w:rStyle w:val="VerbatimChar"/>
        </w:rPr>
        <w:t xml:space="preserve">rsync [опции] источник назначение</w:t>
      </w:r>
    </w:p>
    <w:p>
      <w:pPr>
        <w:pStyle w:val="BodyText"/>
      </w:pPr>
      <w:r>
        <w:t xml:space="preserve">Где:</w:t>
      </w:r>
    </w:p>
    <w:p>
      <w:pPr>
        <w:pStyle w:val="BodyText"/>
      </w:pPr>
      <w:r>
        <w:t xml:space="preserve">источник — путь к файлу или папке, которые вы хотите скопировать.</w:t>
      </w:r>
    </w:p>
    <w:p>
      <w:pPr>
        <w:pStyle w:val="BodyText"/>
      </w:pPr>
      <w:r>
        <w:t xml:space="preserve">назначение — куда нужно эти данные доставить.</w:t>
      </w:r>
    </w:p>
    <w:bookmarkEnd w:id="23"/>
    <w:bookmarkStart w:id="24" w:name="основные-ключи-и-их-функции"/>
    <w:p>
      <w:pPr>
        <w:pStyle w:val="Heading1"/>
      </w:pPr>
      <w:r>
        <w:rPr>
          <w:rStyle w:val="SectionNumber"/>
        </w:rPr>
        <w:t xml:space="preserve">5</w:t>
      </w:r>
      <w:r>
        <w:tab/>
      </w:r>
      <w:r>
        <w:t xml:space="preserve">Основные ключи и их функции</w:t>
      </w:r>
    </w:p>
    <w:p>
      <w:pPr>
        <w:pStyle w:val="FirstParagraph"/>
      </w:pPr>
      <w:r>
        <w:t xml:space="preserve">Вот несколько часто используемых опций:</w:t>
      </w:r>
    </w:p>
    <w:p>
      <w:pPr>
        <w:pStyle w:val="BodyText"/>
      </w:pPr>
      <w:r>
        <w:rPr>
          <w:rStyle w:val="VerbatimChar"/>
        </w:rPr>
        <w:t xml:space="preserve">-a</w:t>
      </w:r>
      <w:r>
        <w:t xml:space="preserve"> </w:t>
      </w:r>
      <w:r>
        <w:t xml:space="preserve">(archive): включает в себя копирование всех метаданных (прав доступа, временных меток и т. д.).</w:t>
      </w:r>
    </w:p>
    <w:p>
      <w:pPr>
        <w:pStyle w:val="BodyText"/>
      </w:pPr>
      <w:r>
        <w:rPr>
          <w:rStyle w:val="VerbatimChar"/>
        </w:rPr>
        <w:t xml:space="preserve">-v</w:t>
      </w:r>
      <w:r>
        <w:t xml:space="preserve"> </w:t>
      </w:r>
      <w:r>
        <w:t xml:space="preserve">(verbose): включает подробный вывод, чтобы вы могли видеть, что происходит.</w:t>
      </w:r>
    </w:p>
    <w:p>
      <w:pPr>
        <w:pStyle w:val="BodyText"/>
      </w:pPr>
      <w:r>
        <w:rPr>
          <w:rStyle w:val="VerbatimChar"/>
        </w:rPr>
        <w:t xml:space="preserve">--progress</w:t>
      </w:r>
      <w:r>
        <w:t xml:space="preserve">: показывает прогресс копирования (очень удобно, если копируете большие файлы).</w:t>
      </w:r>
    </w:p>
    <w:p>
      <w:pPr>
        <w:pStyle w:val="BodyText"/>
      </w:pPr>
      <w:r>
        <w:rPr>
          <w:rStyle w:val="VerbatimChar"/>
        </w:rPr>
        <w:t xml:space="preserve">--delete</w:t>
      </w:r>
      <w:r>
        <w:t xml:space="preserve">: удаляет на целевой стороне файлы, которых больше нет на исходной стороне. Полезно для полной синхронизации.</w:t>
      </w:r>
    </w:p>
    <w:p>
      <w:pPr>
        <w:pStyle w:val="BodyText"/>
      </w:pPr>
      <w:r>
        <w:rPr>
          <w:rStyle w:val="VerbatimChar"/>
        </w:rPr>
        <w:t xml:space="preserve">-z</w:t>
      </w:r>
      <w:r>
        <w:t xml:space="preserve"> </w:t>
      </w:r>
      <w:r>
        <w:t xml:space="preserve">(compress): сжимает данные перед передачей, ускоряя работу (особенно важно для сетевых операций).</w:t>
      </w:r>
    </w:p>
    <w:bookmarkEnd w:id="24"/>
    <w:bookmarkStart w:id="25" w:name="пример-копирование-локальных-данных"/>
    <w:p>
      <w:pPr>
        <w:pStyle w:val="Heading1"/>
      </w:pPr>
      <w:r>
        <w:rPr>
          <w:rStyle w:val="SectionNumber"/>
        </w:rPr>
        <w:t xml:space="preserve">6</w:t>
      </w:r>
      <w:r>
        <w:tab/>
      </w:r>
      <w:r>
        <w:t xml:space="preserve">Пример: копирование локальных данных</w:t>
      </w:r>
    </w:p>
    <w:p>
      <w:pPr>
        <w:pStyle w:val="FirstParagraph"/>
      </w:pPr>
      <w:r>
        <w:t xml:space="preserve">Создадим каталог /backup для хранения резервных копий:</w:t>
      </w:r>
    </w:p>
    <w:p>
      <w:pPr>
        <w:pStyle w:val="BodyText"/>
      </w:pPr>
      <w:r>
        <w:rPr>
          <w:rStyle w:val="VerbatimChar"/>
        </w:rPr>
        <w:t xml:space="preserve">mkdir /backup</w:t>
      </w:r>
    </w:p>
    <w:p>
      <w:pPr>
        <w:pStyle w:val="BodyText"/>
      </w:pPr>
      <w:r>
        <w:t xml:space="preserve">Копируем всё содержимое каталога /home в /backup:</w:t>
      </w:r>
    </w:p>
    <w:p>
      <w:pPr>
        <w:pStyle w:val="BodyText"/>
      </w:pPr>
      <w:r>
        <w:rPr>
          <w:rStyle w:val="VerbatimChar"/>
        </w:rPr>
        <w:t xml:space="preserve">rsync -av /home /backup</w:t>
      </w:r>
    </w:p>
    <w:p>
      <w:pPr>
        <w:pStyle w:val="BodyText"/>
      </w:pPr>
      <w:r>
        <w:t xml:space="preserve">Разберём этот пример:</w:t>
      </w:r>
    </w:p>
    <w:p>
      <w:pPr>
        <w:pStyle w:val="BodyText"/>
      </w:pPr>
      <w:r>
        <w:rPr>
          <w:rStyle w:val="VerbatimChar"/>
        </w:rPr>
        <w:t xml:space="preserve">-a</w:t>
      </w:r>
      <w:r>
        <w:t xml:space="preserve"> </w:t>
      </w:r>
      <w:r>
        <w:t xml:space="preserve">сохраняет структуру и права доступа файлов.</w:t>
      </w:r>
    </w:p>
    <w:p>
      <w:pPr>
        <w:pStyle w:val="BodyText"/>
      </w:pPr>
      <w:r>
        <w:rPr>
          <w:rStyle w:val="VerbatimChar"/>
        </w:rPr>
        <w:t xml:space="preserve">-v</w:t>
      </w:r>
      <w:r>
        <w:t xml:space="preserve"> </w:t>
      </w:r>
      <w:r>
        <w:t xml:space="preserve">даёт информацию о ходе процесса.</w:t>
      </w:r>
    </w:p>
    <w:p>
      <w:pPr>
        <w:pStyle w:val="BodyText"/>
      </w:pPr>
      <w:r>
        <w:t xml:space="preserve">Если вы выполните команду ещё раз, она скопирует только изменённые или новые файлы.</w:t>
      </w:r>
    </w:p>
    <w:bookmarkEnd w:id="25"/>
    <w:bookmarkStart w:id="26" w:name="пример-удалённое-резервное-копирование"/>
    <w:p>
      <w:pPr>
        <w:pStyle w:val="Heading1"/>
      </w:pPr>
      <w:r>
        <w:rPr>
          <w:rStyle w:val="SectionNumber"/>
        </w:rPr>
        <w:t xml:space="preserve">7</w:t>
      </w:r>
      <w:r>
        <w:tab/>
      </w:r>
      <w:r>
        <w:t xml:space="preserve">Пример: удалённое резервное копирование</w:t>
      </w:r>
    </w:p>
    <w:p>
      <w:pPr>
        <w:pStyle w:val="FirstParagraph"/>
      </w:pPr>
      <w:r>
        <w:t xml:space="preserve">Теперь предположим, что вы хотите отправить резервную копию на удалённый сервер. Для этого rsync поддерживает использование SSH.</w:t>
      </w:r>
    </w:p>
    <w:p>
      <w:pPr>
        <w:pStyle w:val="BodyText"/>
      </w:pPr>
      <w:r>
        <w:rPr>
          <w:rStyle w:val="VerbatimChar"/>
        </w:rPr>
        <w:t xml:space="preserve">rsync -av /backup user@remote_server:/remote_backup</w:t>
      </w:r>
    </w:p>
    <w:p>
      <w:pPr>
        <w:pStyle w:val="BodyText"/>
      </w:pPr>
      <w:r>
        <w:t xml:space="preserve">Где:</w:t>
      </w:r>
    </w:p>
    <w:p>
      <w:pPr>
        <w:pStyle w:val="BodyText"/>
      </w:pPr>
      <w:r>
        <w:rPr>
          <w:rStyle w:val="VerbatimChar"/>
        </w:rPr>
        <w:t xml:space="preserve">user</w:t>
      </w:r>
      <w:r>
        <w:t xml:space="preserve"> </w:t>
      </w:r>
      <w:r>
        <w:t xml:space="preserve">— имя пользователя на удалённом сервере.</w:t>
      </w:r>
    </w:p>
    <w:p>
      <w:pPr>
        <w:pStyle w:val="BodyText"/>
      </w:pPr>
      <w:r>
        <w:rPr>
          <w:rStyle w:val="VerbatimChar"/>
        </w:rPr>
        <w:t xml:space="preserve">remote_server</w:t>
      </w:r>
      <w:r>
        <w:t xml:space="preserve"> </w:t>
      </w:r>
      <w:r>
        <w:t xml:space="preserve">— адрес вашего удалённого сервера (например, IP-адрес или доменное имя).</w:t>
      </w:r>
    </w:p>
    <w:p>
      <w:pPr>
        <w:pStyle w:val="BodyText"/>
      </w:pPr>
      <w:r>
        <w:rPr>
          <w:rStyle w:val="VerbatimChar"/>
        </w:rPr>
        <w:t xml:space="preserve">/remote_backup</w:t>
      </w:r>
      <w:r>
        <w:t xml:space="preserve"> </w:t>
      </w:r>
      <w:r>
        <w:t xml:space="preserve">— путь на сервере, куда вы хотите сохранить данные.</w:t>
      </w:r>
    </w:p>
    <w:p>
      <w:pPr>
        <w:pStyle w:val="BodyText"/>
      </w:pPr>
      <w:r>
        <w:t xml:space="preserve">Если у вас есть SSH-ключ для авторизации, передача будет ещё проще (и безопаснее).</w:t>
      </w:r>
    </w:p>
    <w:bookmarkEnd w:id="26"/>
    <w:bookmarkStart w:id="27" w:name="типичные-ошибки-и-способы-их-решения"/>
    <w:p>
      <w:pPr>
        <w:pStyle w:val="Heading1"/>
      </w:pPr>
      <w:r>
        <w:rPr>
          <w:rStyle w:val="SectionNumber"/>
        </w:rPr>
        <w:t xml:space="preserve">8</w:t>
      </w:r>
      <w:r>
        <w:tab/>
      </w:r>
      <w:r>
        <w:t xml:space="preserve">Типичные ошибки и способы их решения</w:t>
      </w:r>
    </w:p>
    <w:p>
      <w:pPr>
        <w:pStyle w:val="FirstParagraph"/>
      </w:pPr>
      <w:r>
        <w:t xml:space="preserve">При использовании утилиты rsync могут возникать различные ошибки. Ниже приведены наиболее распространенные ошибки и способы их устранения:</w:t>
      </w:r>
    </w:p>
    <w:p>
      <w:pPr>
        <w:pStyle w:val="Compact"/>
        <w:numPr>
          <w:ilvl w:val="0"/>
          <w:numId w:val="1001"/>
        </w:numPr>
      </w:pPr>
      <w:r>
        <w:t xml:space="preserve">Неправильные пути:</w:t>
      </w:r>
    </w:p>
    <w:p>
      <w:pPr>
        <w:pStyle w:val="FirstParagraph"/>
      </w:pPr>
      <w:r>
        <w:t xml:space="preserve">Одной из самых распространенных ошибок является указание неверных путей к исходным и целевым каталогам. Для проверки правильности путей используйте команды ls (list) или pwd (print working directory).</w:t>
      </w:r>
    </w:p>
    <w:p>
      <w:pPr>
        <w:pStyle w:val="Compact"/>
        <w:numPr>
          <w:ilvl w:val="0"/>
          <w:numId w:val="1002"/>
        </w:numPr>
      </w:pPr>
      <w:r>
        <w:t xml:space="preserve">Ошибки прав доступа:</w:t>
      </w:r>
    </w:p>
    <w:p>
      <w:pPr>
        <w:pStyle w:val="FirstParagraph"/>
      </w:pPr>
      <w:r>
        <w:t xml:space="preserve">Убедитесь, что пользователь, от имени которого выполняется команда rsync, имеет необходимые права на чтение исходных файлов и запись в целевой каталог. Для настройки прав доступа используйте команды chmod (change mode) и chown (change owner).</w:t>
      </w:r>
    </w:p>
    <w:p>
      <w:pPr>
        <w:pStyle w:val="Compact"/>
        <w:numPr>
          <w:ilvl w:val="0"/>
          <w:numId w:val="1003"/>
        </w:numPr>
      </w:pPr>
      <w:r>
        <w:t xml:space="preserve">Проблемы с SSH:</w:t>
      </w:r>
    </w:p>
    <w:p>
      <w:pPr>
        <w:pStyle w:val="Compact"/>
        <w:numPr>
          <w:ilvl w:val="0"/>
          <w:numId w:val="1004"/>
        </w:numPr>
      </w:pPr>
      <w:r>
        <w:t xml:space="preserve">Убедитесь, что SSH-сервер функционирует и доступен на удаленном сервере.</w:t>
      </w:r>
    </w:p>
    <w:p>
      <w:pPr>
        <w:pStyle w:val="Compact"/>
        <w:numPr>
          <w:ilvl w:val="0"/>
          <w:numId w:val="1004"/>
        </w:numPr>
      </w:pPr>
      <w:r>
        <w:t xml:space="preserve">Проверьте настройки SSH, такие как порт (по умолчанию 22).</w:t>
      </w:r>
    </w:p>
    <w:p>
      <w:pPr>
        <w:pStyle w:val="Compact"/>
        <w:numPr>
          <w:ilvl w:val="0"/>
          <w:numId w:val="1004"/>
        </w:numPr>
      </w:pPr>
      <w:r>
        <w:t xml:space="preserve">Если вы используете SSH-ключи для аутентификации, убедитесь, что ключ правильно настроен на удаленном сервере, а также что у вас есть доступ к приватному ключу. Для проверки подключения используйте команду ssh user@host.</w:t>
      </w:r>
    </w:p>
    <w:p>
      <w:pPr>
        <w:pStyle w:val="Compact"/>
        <w:numPr>
          <w:ilvl w:val="0"/>
          <w:numId w:val="1004"/>
        </w:numPr>
      </w:pPr>
      <w:r>
        <w:t xml:space="preserve">Если при подключении требуется ввод пароля, значит, SSH-ключ не настроен или не распознается.</w:t>
      </w:r>
    </w:p>
    <w:p>
      <w:pPr>
        <w:pStyle w:val="Compact"/>
        <w:numPr>
          <w:ilvl w:val="0"/>
          <w:numId w:val="1005"/>
        </w:numPr>
      </w:pPr>
      <w:r>
        <w:t xml:space="preserve">Нехватка места на диске:</w:t>
      </w:r>
    </w:p>
    <w:p>
      <w:pPr>
        <w:pStyle w:val="FirstParagraph"/>
      </w:pPr>
      <w:r>
        <w:t xml:space="preserve">Проверьте, достаточно ли свободного места на целевом диске, где будут храниться резервные копии.</w:t>
      </w:r>
      <w:r>
        <w:t xml:space="preserve"> </w:t>
      </w:r>
      <w:r>
        <w:t xml:space="preserve">Прерывание копирования: В случае, если процесс копирования был прерван (например, из-за разрыва сетевого соединения), rsync продолжит работу с того места, где она была прервана, при следующем запуске. Однако, в случае возникновения проблем с передачей данных, следует проверить целостность резервной копии.</w:t>
      </w:r>
    </w:p>
    <w:p>
      <w:pPr>
        <w:pStyle w:val="Compact"/>
        <w:numPr>
          <w:ilvl w:val="0"/>
          <w:numId w:val="1006"/>
        </w:numPr>
      </w:pPr>
      <w:r>
        <w:t xml:space="preserve">Использование –delete:</w:t>
      </w:r>
    </w:p>
    <w:p>
      <w:pPr>
        <w:pStyle w:val="FirstParagraph"/>
      </w:pPr>
      <w:r>
        <w:t xml:space="preserve">Будьте осторожны при использовании опции –delete, так как она удаляет файлы в целевой директории, которых нет в исходной. Перед использованием этой опции убедитесь, что вы понимаете ее последствия. Для проверки корректности работы команды рекомендуется сначала использовать опцию –dry-run.</w:t>
      </w:r>
    </w:p>
    <w:p>
      <w:pPr>
        <w:pStyle w:val="Compact"/>
        <w:numPr>
          <w:ilvl w:val="0"/>
          <w:numId w:val="1007"/>
        </w:numPr>
      </w:pPr>
      <w:r>
        <w:t xml:space="preserve">Исключения:</w:t>
      </w:r>
    </w:p>
    <w:p>
      <w:pPr>
        <w:pStyle w:val="FirstParagraph"/>
      </w:pPr>
      <w:r>
        <w:t xml:space="preserve">Убедитесь, что ваши правила исключения работают правильно и соответствуют вашим требованиям. Проверьте корректность шаблонов, указанных в файле исключений.</w:t>
      </w:r>
    </w:p>
    <w:bookmarkEnd w:id="27"/>
    <w:bookmarkStart w:id="28" w:name="вывод"/>
    <w:p>
      <w:pPr>
        <w:pStyle w:val="Heading1"/>
      </w:pPr>
      <w:r>
        <w:rPr>
          <w:rStyle w:val="SectionNumber"/>
        </w:rPr>
        <w:t xml:space="preserve">9</w:t>
      </w:r>
      <w:r>
        <w:tab/>
      </w:r>
      <w:r>
        <w:t xml:space="preserve">Вывод</w:t>
      </w:r>
    </w:p>
    <w:p>
      <w:pPr>
        <w:pStyle w:val="FirstParagraph"/>
      </w:pPr>
      <w:r>
        <w:t xml:space="preserve">Rsync – мощный и гибкий инструмент для резервного копирования. Использование rsync с автоматизацией обеспечивает надежную защиту данных. Важно помнить о регулярности, проверке работоспособности и хранении копий в нескольких местах. Не забывайте о безопасности, используя шифрование.</w:t>
      </w:r>
    </w:p>
    <w:bookmarkEnd w:id="28"/>
    <w:bookmarkStart w:id="29" w:name="список-литературы"/>
    <w:p>
      <w:pPr>
        <w:pStyle w:val="Heading1"/>
      </w:pPr>
      <w:r>
        <w:rPr>
          <w:rStyle w:val="SectionNumber"/>
        </w:rPr>
        <w:t xml:space="preserve">10</w:t>
      </w:r>
      <w:r>
        <w:tab/>
      </w:r>
      <w:r>
        <w:t xml:space="preserve">Список литературы</w:t>
      </w:r>
    </w:p>
    <w:p>
      <w:pPr>
        <w:pStyle w:val="FirstParagraph"/>
      </w:pPr>
      <w:r>
        <w:t xml:space="preserve">Как использовать rsync для резервного копирования данных</w:t>
      </w:r>
    </w:p>
    <w:p>
      <w:pPr>
        <w:pStyle w:val="BodyText"/>
      </w:pPr>
      <w:r>
        <w:t xml:space="preserve">https://wiki.merionet.ru/articles/kak-ispolzovat-rsync-dlya-rezervnogo-kopirovaniya-dannyx</w:t>
      </w:r>
    </w:p>
    <w:p>
      <w:pPr>
        <w:pStyle w:val="BodyText"/>
      </w:pPr>
      <w:r>
        <w:t xml:space="preserve">Linux: командная строка и основы работы</w:t>
      </w:r>
    </w:p>
    <w:p>
      <w:pPr>
        <w:pStyle w:val="BodyText"/>
      </w:pPr>
      <w:r>
        <w:t xml:space="preserve">https://javarush.com/quests/lectures/ru.javarush.system.linux.lecture.level06.lecture06</w:t>
      </w:r>
    </w:p>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1"/>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Резервное копирование данных с использованием rsync</dc:title>
  <dc:creator>Кичигина Полина Евгеньевна</dc:creator>
  <dc:language>ru-RU</dc:language>
  <cp:keywords/>
  <dcterms:created xsi:type="dcterms:W3CDTF">2025-03-21T17:49:35Z</dcterms:created>
  <dcterms:modified xsi:type="dcterms:W3CDTF">2025-03-21T17:49:35Z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BlockInlineMath">
    <vt:lpwstr>False</vt:lpwstr>
  </property>
  <property fmtid="{D5CDD505-2E9C-101B-9397-08002B2CF9AE}" pid="23" name="eqnBlockTemplate">
    <vt:lpwstr>ti</vt:lpwstr>
  </property>
  <property fmtid="{D5CDD505-2E9C-101B-9397-08002B2CF9AE}" pid="24" name="eqnIndexTemplate">
    <vt:lpwstr>(i)</vt:lpwstr>
  </property>
  <property fmtid="{D5CDD505-2E9C-101B-9397-08002B2CF9AE}" pid="25" name="eqnInlineTemplate">
    <vt:lpwstr>eequationNumberTeX{i}</vt:lpwstr>
  </property>
  <property fmtid="{D5CDD505-2E9C-101B-9397-08002B2CF9AE}" pid="26" name="eqnPrefix">
    <vt:lpwstr/>
  </property>
  <property fmtid="{D5CDD505-2E9C-101B-9397-08002B2CF9AE}" pid="27" name="eqnPrefixTemplate">
    <vt:lpwstr>p i</vt:lpwstr>
  </property>
  <property fmtid="{D5CDD505-2E9C-101B-9397-08002B2CF9AE}" pid="28" name="equationNumberTeX">
    <vt:lpwstr>\qquad</vt:lpwstr>
  </property>
  <property fmtid="{D5CDD505-2E9C-101B-9397-08002B2CF9AE}" pid="29" name="figLabels">
    <vt:lpwstr>arabic</vt:lpwstr>
  </property>
  <property fmtid="{D5CDD505-2E9C-101B-9397-08002B2CF9AE}" pid="30" name="figPrefix">
    <vt:lpwstr/>
  </property>
  <property fmtid="{D5CDD505-2E9C-101B-9397-08002B2CF9AE}" pid="31" name="figPrefixTemplate">
    <vt:lpwstr>p i</vt:lpwstr>
  </property>
  <property fmtid="{D5CDD505-2E9C-101B-9397-08002B2CF9AE}" pid="32" name="figureTemplate">
    <vt:lpwstr>figureTitle ititleDelim t</vt:lpwstr>
  </property>
  <property fmtid="{D5CDD505-2E9C-101B-9397-08002B2CF9AE}" pid="33" name="figureTitle">
    <vt:lpwstr>Рис.</vt:lpwstr>
  </property>
  <property fmtid="{D5CDD505-2E9C-101B-9397-08002B2CF9AE}" pid="34" name="fontsize">
    <vt:lpwstr>12pt</vt:lpwstr>
  </property>
  <property fmtid="{D5CDD505-2E9C-101B-9397-08002B2CF9AE}" pid="35" name="header-includes">
    <vt:lpwstr/>
  </property>
  <property fmtid="{D5CDD505-2E9C-101B-9397-08002B2CF9AE}" pid="36" name="indent">
    <vt:lpwstr>True</vt:lpwstr>
  </property>
  <property fmtid="{D5CDD505-2E9C-101B-9397-08002B2CF9AE}" pid="37" name="lastDelim">
    <vt:lpwstr>, </vt:lpwstr>
  </property>
  <property fmtid="{D5CDD505-2E9C-101B-9397-08002B2CF9AE}" pid="38" name="linestretch">
    <vt:lpwstr>1.5</vt:lpwstr>
  </property>
  <property fmtid="{D5CDD505-2E9C-101B-9397-08002B2CF9AE}" pid="39" name="linkReferences">
    <vt:lpwstr>False</vt:lpwstr>
  </property>
  <property fmtid="{D5CDD505-2E9C-101B-9397-08002B2CF9AE}" pid="40" name="listItemTitleDelim">
    <vt:lpwstr>.</vt:lpwstr>
  </property>
  <property fmtid="{D5CDD505-2E9C-101B-9397-08002B2CF9AE}" pid="41" name="listingTemplate">
    <vt:lpwstr>listingTitle ititleDelim t</vt:lpwstr>
  </property>
  <property fmtid="{D5CDD505-2E9C-101B-9397-08002B2CF9AE}" pid="42" name="listingTitle">
    <vt:lpwstr>Листинг</vt:lpwstr>
  </property>
  <property fmtid="{D5CDD505-2E9C-101B-9397-08002B2CF9AE}" pid="43" name="listings">
    <vt:lpwstr>False</vt:lpwstr>
  </property>
  <property fmtid="{D5CDD505-2E9C-101B-9397-08002B2CF9AE}" pid="44" name="lofItemTemplate">
    <vt:lpwstr>lofItemTitleilistItemTitleDelimt </vt:lpwstr>
  </property>
  <property fmtid="{D5CDD505-2E9C-101B-9397-08002B2CF9AE}" pid="45" name="lofItemTitle">
    <vt:lpwstr/>
  </property>
  <property fmtid="{D5CDD505-2E9C-101B-9397-08002B2CF9AE}" pid="46" name="lofTitle">
    <vt:lpwstr>List of Figures</vt:lpwstr>
  </property>
  <property fmtid="{D5CDD505-2E9C-101B-9397-08002B2CF9AE}" pid="47" name="lolItemTemplate">
    <vt:lpwstr>lolItemTitleilistItemTitleDelimt </vt:lpwstr>
  </property>
  <property fmtid="{D5CDD505-2E9C-101B-9397-08002B2CF9AE}" pid="48" name="lolItemTitle">
    <vt:lpwstr/>
  </property>
  <property fmtid="{D5CDD505-2E9C-101B-9397-08002B2CF9AE}" pid="49" name="lolTitle">
    <vt:lpwstr>Листинги</vt:lpwstr>
  </property>
  <property fmtid="{D5CDD505-2E9C-101B-9397-08002B2CF9AE}" pid="50" name="lotItemTemplate">
    <vt:lpwstr>lotItemTitleilistItemTitleDelimt </vt:lpwstr>
  </property>
  <property fmtid="{D5CDD505-2E9C-101B-9397-08002B2CF9AE}" pid="51" name="lotItemTitle">
    <vt:lpwstr/>
  </property>
  <property fmtid="{D5CDD505-2E9C-101B-9397-08002B2CF9AE}" pid="52" name="lotTitle">
    <vt:lpwstr>List of Tables</vt:lpwstr>
  </property>
  <property fmtid="{D5CDD505-2E9C-101B-9397-08002B2CF9AE}" pid="53" name="lstLabels">
    <vt:lpwstr>arabic</vt:lpwstr>
  </property>
  <property fmtid="{D5CDD505-2E9C-101B-9397-08002B2CF9AE}" pid="54" name="lstPrefix">
    <vt:lpwstr/>
  </property>
  <property fmtid="{D5CDD505-2E9C-101B-9397-08002B2CF9AE}" pid="55" name="lstPrefixTemplate">
    <vt:lpwstr>p i</vt:lpwstr>
  </property>
  <property fmtid="{D5CDD505-2E9C-101B-9397-08002B2CF9AE}" pid="56" name="mainfont">
    <vt:lpwstr>IBM Plex Serif</vt:lpwstr>
  </property>
  <property fmtid="{D5CDD505-2E9C-101B-9397-08002B2CF9AE}" pid="57" name="mainfontoptions">
    <vt:lpwstr>Ligatures=Common,Ligatures=TeX,Scale=0.94</vt:lpwstr>
  </property>
  <property fmtid="{D5CDD505-2E9C-101B-9397-08002B2CF9AE}" pid="58" name="mathfont">
    <vt:lpwstr>STIX Two Math</vt:lpwstr>
  </property>
  <property fmtid="{D5CDD505-2E9C-101B-9397-08002B2CF9AE}" pid="59" name="mathfontoptions">
    <vt:lpwstr/>
  </property>
  <property fmtid="{D5CDD505-2E9C-101B-9397-08002B2CF9AE}" pid="60" name="monofont">
    <vt:lpwstr>IBM Plex Mono</vt:lpwstr>
  </property>
  <property fmtid="{D5CDD505-2E9C-101B-9397-08002B2CF9AE}" pid="61" name="monofontoptions">
    <vt:lpwstr>Scale=MatchLowercase,Scale=0.94,FakeStretch=0.9</vt:lpwstr>
  </property>
  <property fmtid="{D5CDD505-2E9C-101B-9397-08002B2CF9AE}" pid="62" name="nameInLink">
    <vt:lpwstr>False</vt:lpwstr>
  </property>
  <property fmtid="{D5CDD505-2E9C-101B-9397-08002B2CF9AE}" pid="63" name="numberSections">
    <vt:lpwstr>False</vt:lpwstr>
  </property>
  <property fmtid="{D5CDD505-2E9C-101B-9397-08002B2CF9AE}" pid="64" name="pairDelim">
    <vt:lpwstr>, </vt:lpwstr>
  </property>
  <property fmtid="{D5CDD505-2E9C-101B-9397-08002B2CF9AE}" pid="65" name="papersize">
    <vt:lpwstr>a4</vt:lpwstr>
  </property>
  <property fmtid="{D5CDD505-2E9C-101B-9397-08002B2CF9AE}" pid="66" name="polyglossia-lang">
    <vt:lpwstr/>
  </property>
  <property fmtid="{D5CDD505-2E9C-101B-9397-08002B2CF9AE}" pid="67" name="polyglossia-otherlangs">
    <vt:lpwstr/>
  </property>
  <property fmtid="{D5CDD505-2E9C-101B-9397-08002B2CF9AE}" pid="68" name="rangeDelim">
    <vt:lpwstr>-</vt:lpwstr>
  </property>
  <property fmtid="{D5CDD505-2E9C-101B-9397-08002B2CF9AE}" pid="69" name="refDelim">
    <vt:lpwstr>, </vt:lpwstr>
  </property>
  <property fmtid="{D5CDD505-2E9C-101B-9397-08002B2CF9AE}" pid="70" name="refIndexTemplate">
    <vt:lpwstr>isuf</vt:lpwstr>
  </property>
  <property fmtid="{D5CDD505-2E9C-101B-9397-08002B2CF9AE}" pid="71" name="romanfont">
    <vt:lpwstr>IBM Plex Serif</vt:lpwstr>
  </property>
  <property fmtid="{D5CDD505-2E9C-101B-9397-08002B2CF9AE}" pid="72" name="romanfontoptions">
    <vt:lpwstr>Ligatures=Common,Ligatures=TeX,Scale=0.94</vt:lpwstr>
  </property>
  <property fmtid="{D5CDD505-2E9C-101B-9397-08002B2CF9AE}" pid="73" name="sansfont">
    <vt:lpwstr>IBM Plex Sans</vt:lpwstr>
  </property>
  <property fmtid="{D5CDD505-2E9C-101B-9397-08002B2CF9AE}" pid="74" name="sansfontoptions">
    <vt:lpwstr>Ligatures=Common,Ligatures=TeX,Scale=MatchLowercase,Scale=0.94</vt:lpwstr>
  </property>
  <property fmtid="{D5CDD505-2E9C-101B-9397-08002B2CF9AE}" pid="75" name="secHeaderDelim">
    <vt:lpwstr> </vt:lpwstr>
  </property>
  <property fmtid="{D5CDD505-2E9C-101B-9397-08002B2CF9AE}" pid="76" name="secHeaderTemplate">
    <vt:lpwstr>isecHeaderDelim[n]t</vt:lpwstr>
  </property>
  <property fmtid="{D5CDD505-2E9C-101B-9397-08002B2CF9AE}" pid="77" name="secLabels">
    <vt:lpwstr>arabic</vt:lpwstr>
  </property>
  <property fmtid="{D5CDD505-2E9C-101B-9397-08002B2CF9AE}" pid="78" name="secPrefix">
    <vt:lpwstr/>
  </property>
  <property fmtid="{D5CDD505-2E9C-101B-9397-08002B2CF9AE}" pid="79" name="secPrefixTemplate">
    <vt:lpwstr>p i</vt:lpwstr>
  </property>
  <property fmtid="{D5CDD505-2E9C-101B-9397-08002B2CF9AE}" pid="80" name="sectionsDepth">
    <vt:lpwstr>0</vt:lpwstr>
  </property>
  <property fmtid="{D5CDD505-2E9C-101B-9397-08002B2CF9AE}" pid="81" name="subfigGrid">
    <vt:lpwstr>False</vt:lpwstr>
  </property>
  <property fmtid="{D5CDD505-2E9C-101B-9397-08002B2CF9AE}" pid="82" name="subfigLabels">
    <vt:lpwstr>alpha a</vt:lpwstr>
  </property>
  <property fmtid="{D5CDD505-2E9C-101B-9397-08002B2CF9AE}" pid="83" name="subfigureChildTemplate">
    <vt:lpwstr>i</vt:lpwstr>
  </property>
  <property fmtid="{D5CDD505-2E9C-101B-9397-08002B2CF9AE}" pid="84" name="subfigureRefIndexTemplate">
    <vt:lpwstr>isuf (s)</vt:lpwstr>
  </property>
  <property fmtid="{D5CDD505-2E9C-101B-9397-08002B2CF9AE}" pid="85" name="subfigureTemplate">
    <vt:lpwstr>figureTitle ititleDelim t. ccs</vt:lpwstr>
  </property>
  <property fmtid="{D5CDD505-2E9C-101B-9397-08002B2CF9AE}" pid="86" name="subtitle">
    <vt:lpwstr>Реферат</vt:lpwstr>
  </property>
  <property fmtid="{D5CDD505-2E9C-101B-9397-08002B2CF9AE}" pid="87" name="tableEqns">
    <vt:lpwstr>False</vt:lpwstr>
  </property>
  <property fmtid="{D5CDD505-2E9C-101B-9397-08002B2CF9AE}" pid="88" name="tableTemplate">
    <vt:lpwstr>tableTitle ititleDelim t</vt:lpwstr>
  </property>
  <property fmtid="{D5CDD505-2E9C-101B-9397-08002B2CF9AE}" pid="89" name="tableTitle">
    <vt:lpwstr>Таблица</vt:lpwstr>
  </property>
  <property fmtid="{D5CDD505-2E9C-101B-9397-08002B2CF9AE}" pid="90" name="tblLabels">
    <vt:lpwstr>arabic</vt:lpwstr>
  </property>
  <property fmtid="{D5CDD505-2E9C-101B-9397-08002B2CF9AE}" pid="91" name="tblPrefix">
    <vt:lpwstr/>
  </property>
  <property fmtid="{D5CDD505-2E9C-101B-9397-08002B2CF9AE}" pid="92" name="tblPrefixTemplate">
    <vt:lpwstr>p i</vt:lpwstr>
  </property>
  <property fmtid="{D5CDD505-2E9C-101B-9397-08002B2CF9AE}" pid="93" name="titleDelim">
    <vt:lpwstr>:</vt:lpwstr>
  </property>
  <property fmtid="{D5CDD505-2E9C-101B-9397-08002B2CF9AE}" pid="94" name="toc">
    <vt:lpwstr>True</vt:lpwstr>
  </property>
  <property fmtid="{D5CDD505-2E9C-101B-9397-08002B2CF9AE}" pid="95" name="toc-depth">
    <vt:lpwstr>2</vt:lpwstr>
  </property>
  <property fmtid="{D5CDD505-2E9C-101B-9397-08002B2CF9AE}" pid="96" name="toc-title">
    <vt:lpwstr>Содержание</vt:lpwstr>
  </property>
</Properties>
</file>