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3" name="image1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Описать  диаграмму  с помощью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9.00000000000034" w:tblpY="0"/>
        <w:tblW w:w="9450.0" w:type="dxa"/>
        <w:jc w:val="left"/>
        <w:tblInd w:w="-120.0" w:type="dxa"/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процесса:  Процесс продажи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Краткое описание: Происходит оформление заказа, оформление всех требуемых документов, выдача заказа.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актеры: Менеджер, Кладовщик, Бухгалтер.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актеры: Клиент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Наличие продукта на складе.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Оплата клиентом заказа.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Выдача товара производится только при предъявлении накладной кладовщику.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заказа товара клиентом.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Оформление заказа Менеджером (С предварительной проверкой наличия продукта на складе).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Оформление накладных Бухгалтером, если счет существует (После оплаты заказа клиентом).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Передача накладной клиенту.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Выдача товара кладовщиком (при предъявлении накладной клиентом).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Завершение процесса.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заказа товара клиентом.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Оформление заказа Менеджером (С предварительной проверкой наличия продукта на складе.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При отсутствии счета - оформление счета.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Оформление накладных Бухгалтером (После оплаты заказа клиентом).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Передача накладной клиенту.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Выдача товара кладовщиком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(при предъявлении накладной клиентом).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7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Построить диаграмму деятельности.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3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EjS/ob/wpVKVIsRKpScC625+g==">CgMxLjAyCGguZ2pkZ3hzOAByITE5ajF5ZnBSZnlfVDVyem5Kc2pQdmJhanN2ME1hcmhfOQ==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