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C8DC9" w14:textId="77777777" w:rsidR="00442AD0" w:rsidRDefault="00714119">
      <w:pPr>
        <w:pStyle w:val="1"/>
        <w:jc w:val="right"/>
      </w:pPr>
      <w:proofErr w:type="spellStart"/>
      <w:r>
        <w:t>Lypnytsky</w:t>
      </w:r>
      <w:proofErr w:type="spellEnd"/>
      <w:r>
        <w:t xml:space="preserve"> Denys, PhD</w:t>
      </w:r>
    </w:p>
    <w:p w14:paraId="25B816E3" w14:textId="77777777" w:rsidR="00442AD0" w:rsidRDefault="00714119">
      <w:pPr>
        <w:jc w:val="right"/>
        <w:rPr>
          <w:rFonts w:ascii="Times New Roman" w:hAnsi="Times New Roman" w:cs="Times New Roman"/>
          <w:sz w:val="24"/>
          <w:szCs w:val="24"/>
        </w:rPr>
      </w:pPr>
      <w:r>
        <w:rPr>
          <w:rFonts w:ascii="Times New Roman" w:hAnsi="Times New Roman" w:cs="Times New Roman"/>
          <w:sz w:val="24"/>
          <w:szCs w:val="24"/>
        </w:rPr>
        <w:t xml:space="preserve">application architect, technical trainer, </w:t>
      </w:r>
      <w:proofErr w:type="spellStart"/>
      <w:r>
        <w:rPr>
          <w:rFonts w:ascii="Times New Roman" w:hAnsi="Times New Roman" w:cs="Times New Roman"/>
          <w:sz w:val="24"/>
          <w:szCs w:val="24"/>
        </w:rPr>
        <w:t>i-Klass</w:t>
      </w:r>
      <w:proofErr w:type="spellEnd"/>
      <w:r>
        <w:rPr>
          <w:rFonts w:ascii="Times New Roman" w:hAnsi="Times New Roman" w:cs="Times New Roman"/>
          <w:sz w:val="24"/>
          <w:szCs w:val="24"/>
        </w:rPr>
        <w:t xml:space="preserve"> Center LLC. </w:t>
      </w:r>
    </w:p>
    <w:p w14:paraId="2252C527" w14:textId="77777777" w:rsidR="00442AD0" w:rsidRDefault="00714119">
      <w:pPr>
        <w:jc w:val="right"/>
        <w:rPr>
          <w:rFonts w:ascii="Times New Roman" w:hAnsi="Times New Roman" w:cs="Times New Roman"/>
          <w:sz w:val="24"/>
          <w:szCs w:val="24"/>
        </w:rPr>
      </w:pPr>
      <w:r>
        <w:rPr>
          <w:rFonts w:ascii="Times New Roman" w:hAnsi="Times New Roman" w:cs="Times New Roman"/>
          <w:sz w:val="24"/>
          <w:szCs w:val="24"/>
        </w:rPr>
        <w:t>Е-mail: denis.lipnitsky@i-klass.com https://orcid.org/0000-0002-4616-7936</w:t>
      </w:r>
    </w:p>
    <w:p w14:paraId="5C6235F8" w14:textId="77777777" w:rsidR="00442AD0" w:rsidRDefault="00714119">
      <w:pPr>
        <w:pStyle w:val="1"/>
        <w:jc w:val="right"/>
      </w:pPr>
      <w:proofErr w:type="spellStart"/>
      <w:r>
        <w:t>Lypnytska</w:t>
      </w:r>
      <w:proofErr w:type="spellEnd"/>
      <w:r>
        <w:t xml:space="preserve"> Polina  </w:t>
      </w:r>
    </w:p>
    <w:p w14:paraId="3EBD4BE7" w14:textId="77777777" w:rsidR="00442AD0" w:rsidRDefault="00714119">
      <w:pPr>
        <w:jc w:val="right"/>
      </w:pPr>
      <w:r>
        <w:rPr>
          <w:rFonts w:ascii="Times New Roman" w:hAnsi="Times New Roman" w:cs="Times New Roman"/>
          <w:sz w:val="24"/>
          <w:szCs w:val="24"/>
        </w:rPr>
        <w:t xml:space="preserve"> partner, Up2Date Learn Online Courses </w:t>
      </w:r>
    </w:p>
    <w:p w14:paraId="7F15AA77" w14:textId="77777777" w:rsidR="00442AD0" w:rsidRDefault="00714119">
      <w:pPr>
        <w:jc w:val="right"/>
      </w:pPr>
      <w:r>
        <w:rPr>
          <w:rFonts w:ascii="Times New Roman" w:hAnsi="Times New Roman" w:cs="Times New Roman"/>
          <w:sz w:val="24"/>
          <w:szCs w:val="24"/>
        </w:rPr>
        <w:t xml:space="preserve">E-mail: </w:t>
      </w:r>
      <w:hyperlink r:id="rId8">
        <w:r>
          <w:rPr>
            <w:rStyle w:val="a6"/>
            <w:rFonts w:ascii="Times New Roman" w:hAnsi="Times New Roman" w:cs="Times New Roman"/>
            <w:color w:val="000000"/>
            <w:sz w:val="24"/>
            <w:szCs w:val="24"/>
            <w:u w:val="none"/>
          </w:rPr>
          <w:t>kumpersina@gmail.com</w:t>
        </w:r>
      </w:hyperlink>
      <w:r>
        <w:rPr>
          <w:rFonts w:ascii="Times New Roman" w:hAnsi="Times New Roman" w:cs="Times New Roman"/>
          <w:sz w:val="24"/>
          <w:szCs w:val="24"/>
        </w:rPr>
        <w:t xml:space="preserve">, </w:t>
      </w:r>
      <w:hyperlink r:id="rId9">
        <w:r>
          <w:rPr>
            <w:rStyle w:val="a6"/>
            <w:rFonts w:ascii="Times New Roman" w:hAnsi="Times New Roman" w:cs="Times New Roman"/>
            <w:color w:val="000000"/>
            <w:sz w:val="24"/>
            <w:szCs w:val="24"/>
            <w:u w:val="none"/>
          </w:rPr>
          <w:t>https://orcid.org/</w:t>
        </w:r>
      </w:hyperlink>
      <w:r>
        <w:rPr>
          <w:rStyle w:val="StrongEmphasis"/>
          <w:rFonts w:ascii="Times New Roman" w:hAnsi="Times New Roman" w:cs="Times New Roman"/>
          <w:b w:val="0"/>
          <w:sz w:val="24"/>
          <w:szCs w:val="24"/>
        </w:rPr>
        <w:t>0000-0003-1722-1697</w:t>
      </w:r>
    </w:p>
    <w:p w14:paraId="7D39975B" w14:textId="77777777" w:rsidR="00442AD0" w:rsidRDefault="00442AD0"/>
    <w:p w14:paraId="25706F47" w14:textId="77777777" w:rsidR="00442AD0" w:rsidRDefault="00442AD0">
      <w:pPr>
        <w:rPr>
          <w:rFonts w:ascii="Times New Roman" w:hAnsi="Times New Roman" w:cs="Times New Roman"/>
          <w:sz w:val="28"/>
          <w:szCs w:val="28"/>
        </w:rPr>
      </w:pPr>
    </w:p>
    <w:p w14:paraId="6569BBF3" w14:textId="77777777" w:rsidR="00442AD0" w:rsidRDefault="00714119">
      <w:pPr>
        <w:pStyle w:val="1"/>
        <w:jc w:val="center"/>
      </w:pPr>
      <w:r>
        <w:t xml:space="preserve">MONEY SUPPLY IMPACT ON INVESTMENT AND GDP: </w:t>
      </w:r>
    </w:p>
    <w:p w14:paraId="245C4C38" w14:textId="77777777" w:rsidR="00442AD0" w:rsidRDefault="00714119">
      <w:pPr>
        <w:pStyle w:val="1"/>
        <w:jc w:val="center"/>
      </w:pPr>
      <w:r>
        <w:t>STATISTICAL ANALYSIS</w:t>
      </w:r>
    </w:p>
    <w:p w14:paraId="03E4CC40" w14:textId="77777777" w:rsidR="00442AD0" w:rsidRDefault="00442AD0">
      <w:pPr>
        <w:jc w:val="center"/>
        <w:rPr>
          <w:rFonts w:ascii="Times New Roman" w:hAnsi="Times New Roman" w:cs="Times New Roman"/>
          <w:sz w:val="28"/>
          <w:szCs w:val="28"/>
        </w:rPr>
      </w:pPr>
    </w:p>
    <w:p w14:paraId="7B7C66CC" w14:textId="77777777" w:rsidR="00442AD0" w:rsidRDefault="00714119">
      <w:pPr>
        <w:pStyle w:val="af0"/>
        <w:jc w:val="center"/>
      </w:pPr>
      <w:r>
        <w:rPr>
          <w:rStyle w:val="StrongEmphasis"/>
          <w:rFonts w:ascii="Times New Roman" w:hAnsi="Times New Roman" w:cs="Times New Roman"/>
          <w:color w:val="0E101A"/>
          <w:sz w:val="28"/>
          <w:szCs w:val="28"/>
        </w:rPr>
        <w:t>Introduction</w:t>
      </w:r>
    </w:p>
    <w:p w14:paraId="6E809F1C" w14:textId="606882D1" w:rsidR="00442AD0" w:rsidRDefault="00714119">
      <w:pPr>
        <w:pStyle w:val="af0"/>
        <w:spacing w:after="0"/>
        <w:jc w:val="both"/>
      </w:pPr>
      <w:r>
        <w:rPr>
          <w:color w:val="0E101A"/>
        </w:rPr>
        <w:tab/>
      </w:r>
      <w:r>
        <w:rPr>
          <w:rFonts w:ascii="Times New Roman" w:hAnsi="Times New Roman" w:cs="Times New Roman"/>
          <w:sz w:val="28"/>
          <w:szCs w:val="28"/>
        </w:rPr>
        <w:t xml:space="preserve">Since the beginning of the </w:t>
      </w:r>
      <w:r>
        <w:rPr>
          <w:rStyle w:val="a8"/>
          <w:rFonts w:ascii="Times New Roman" w:hAnsi="Times New Roman" w:cs="Times New Roman"/>
          <w:i w:val="0"/>
          <w:sz w:val="28"/>
          <w:szCs w:val="28"/>
        </w:rPr>
        <w:t>20th</w:t>
      </w:r>
      <w:r>
        <w:rPr>
          <w:rFonts w:ascii="Times New Roman" w:hAnsi="Times New Roman" w:cs="Times New Roman"/>
          <w:sz w:val="28"/>
          <w:szCs w:val="28"/>
        </w:rPr>
        <w:t xml:space="preserve"> century, the world economy has faced two great challenges - the global financial crisis of 2007-2008 and the COVID-19 pandemic. To mitigate their impact, the world-leading mone</w:t>
      </w:r>
      <w:r w:rsidR="005C1550">
        <w:rPr>
          <w:rFonts w:ascii="Times New Roman" w:hAnsi="Times New Roman" w:cs="Times New Roman"/>
          <w:sz w:val="28"/>
          <w:szCs w:val="28"/>
        </w:rPr>
        <w:t>tary</w:t>
      </w:r>
      <w:r>
        <w:rPr>
          <w:rFonts w:ascii="Times New Roman" w:hAnsi="Times New Roman" w:cs="Times New Roman"/>
          <w:sz w:val="28"/>
          <w:szCs w:val="28"/>
        </w:rPr>
        <w:t xml:space="preserve"> authorities lowered interest rates to the historical minimum and took non-traditional measures. This new monetary policy helped to maintain financial stability and support business activity. However, as a result, the top developed countries fell into a "liquidity trap" with interest rates close to zero and unprecedented public debt raising. Such a policy means, that the central banks and monetary authorities directly finance government spending (the orthodox economic theory</w:t>
      </w:r>
      <w:r w:rsidR="00EC7110">
        <w:rPr>
          <w:rFonts w:ascii="Times New Roman" w:hAnsi="Times New Roman" w:cs="Times New Roman"/>
          <w:sz w:val="28"/>
          <w:szCs w:val="28"/>
        </w:rPr>
        <w:t xml:space="preserve"> </w:t>
      </w:r>
      <w:r w:rsidR="00EC7110" w:rsidRPr="00EC7110">
        <w:rPr>
          <w:rFonts w:ascii="Times New Roman" w:hAnsi="Times New Roman" w:cs="Times New Roman"/>
          <w:sz w:val="28"/>
          <w:szCs w:val="28"/>
        </w:rPr>
        <w:t>forbids</w:t>
      </w:r>
      <w:r w:rsidR="00EC7110">
        <w:rPr>
          <w:rFonts w:ascii="Times New Roman" w:hAnsi="Times New Roman" w:cs="Times New Roman"/>
          <w:sz w:val="28"/>
          <w:szCs w:val="28"/>
        </w:rPr>
        <w:t xml:space="preserve"> it</w:t>
      </w:r>
      <w:r>
        <w:rPr>
          <w:rFonts w:ascii="Times New Roman" w:hAnsi="Times New Roman" w:cs="Times New Roman"/>
          <w:sz w:val="28"/>
          <w:szCs w:val="28"/>
        </w:rPr>
        <w:t xml:space="preserve">) via the constant expansion of the monetary base </w:t>
      </w:r>
      <w:r w:rsidR="00C729A4">
        <w:rPr>
          <w:rFonts w:ascii="Times New Roman" w:hAnsi="Times New Roman" w:cs="Times New Roman"/>
          <w:sz w:val="28"/>
          <w:szCs w:val="28"/>
          <w:lang w:val="uk-UA"/>
        </w:rPr>
        <w:t>(</w:t>
      </w:r>
      <w:r w:rsidR="00C729A4">
        <w:rPr>
          <w:rFonts w:ascii="Times New Roman" w:hAnsi="Times New Roman" w:cs="Times New Roman"/>
          <w:sz w:val="28"/>
          <w:szCs w:val="28"/>
          <w:shd w:val="clear" w:color="auto" w:fill="FFFFFF"/>
        </w:rPr>
        <w:t xml:space="preserve">Damiano, Sandri, </w:t>
      </w:r>
      <w:proofErr w:type="spellStart"/>
      <w:r w:rsidR="00C729A4">
        <w:rPr>
          <w:rFonts w:ascii="Times New Roman" w:hAnsi="Times New Roman" w:cs="Times New Roman"/>
          <w:sz w:val="28"/>
          <w:szCs w:val="28"/>
          <w:shd w:val="clear" w:color="auto" w:fill="FFFFFF"/>
        </w:rPr>
        <w:t>Itai</w:t>
      </w:r>
      <w:proofErr w:type="spellEnd"/>
      <w:r w:rsidR="00C729A4">
        <w:rPr>
          <w:rFonts w:ascii="Times New Roman" w:hAnsi="Times New Roman" w:cs="Times New Roman"/>
          <w:sz w:val="28"/>
          <w:szCs w:val="28"/>
          <w:shd w:val="clear" w:color="auto" w:fill="FFFFFF"/>
        </w:rPr>
        <w:t xml:space="preserve"> </w:t>
      </w:r>
      <w:proofErr w:type="spellStart"/>
      <w:r w:rsidR="00C729A4">
        <w:rPr>
          <w:rFonts w:ascii="Times New Roman" w:hAnsi="Times New Roman" w:cs="Times New Roman"/>
          <w:sz w:val="28"/>
          <w:szCs w:val="28"/>
          <w:shd w:val="clear" w:color="auto" w:fill="FFFFFF"/>
        </w:rPr>
        <w:t>Agur</w:t>
      </w:r>
      <w:proofErr w:type="spellEnd"/>
      <w:r w:rsidR="00C729A4">
        <w:rPr>
          <w:rFonts w:ascii="Times New Roman" w:hAnsi="Times New Roman" w:cs="Times New Roman"/>
          <w:sz w:val="28"/>
          <w:szCs w:val="28"/>
          <w:shd w:val="clear" w:color="auto" w:fill="FFFFFF"/>
        </w:rPr>
        <w:t xml:space="preserve">, Damien Capelle, Giovanni </w:t>
      </w:r>
      <w:proofErr w:type="spellStart"/>
      <w:r w:rsidR="00C729A4">
        <w:rPr>
          <w:rFonts w:ascii="Times New Roman" w:hAnsi="Times New Roman" w:cs="Times New Roman"/>
          <w:sz w:val="28"/>
          <w:szCs w:val="28"/>
          <w:shd w:val="clear" w:color="auto" w:fill="FFFFFF"/>
        </w:rPr>
        <w:t>Dell'Ariccia</w:t>
      </w:r>
      <w:proofErr w:type="spellEnd"/>
      <w:r w:rsidR="00C729A4">
        <w:rPr>
          <w:rFonts w:ascii="Times New Roman" w:hAnsi="Times New Roman" w:cs="Times New Roman"/>
          <w:sz w:val="28"/>
          <w:szCs w:val="28"/>
          <w:shd w:val="clear" w:color="auto" w:fill="FFFFFF"/>
        </w:rPr>
        <w:t>, 2022</w:t>
      </w:r>
      <w:r w:rsidR="00C729A4">
        <w:rPr>
          <w:rFonts w:ascii="Times New Roman" w:hAnsi="Times New Roman" w:cs="Times New Roman"/>
          <w:sz w:val="28"/>
          <w:szCs w:val="28"/>
          <w:lang w:val="uk-UA"/>
        </w:rPr>
        <w:t>)</w:t>
      </w:r>
      <w:r>
        <w:rPr>
          <w:rFonts w:ascii="Times New Roman" w:hAnsi="Times New Roman" w:cs="Times New Roman"/>
          <w:sz w:val="28"/>
          <w:szCs w:val="28"/>
        </w:rPr>
        <w:t xml:space="preserve">. In such circumstances, the emerging economies </w:t>
      </w:r>
      <w:r w:rsidR="005C1550">
        <w:rPr>
          <w:rFonts w:ascii="Times New Roman" w:hAnsi="Times New Roman" w:cs="Times New Roman"/>
          <w:sz w:val="28"/>
          <w:szCs w:val="28"/>
        </w:rPr>
        <w:t>face</w:t>
      </w:r>
      <w:r w:rsidR="00D7148D">
        <w:rPr>
          <w:rFonts w:ascii="Times New Roman" w:hAnsi="Times New Roman" w:cs="Times New Roman"/>
          <w:sz w:val="28"/>
          <w:szCs w:val="28"/>
        </w:rPr>
        <w:t>d</w:t>
      </w:r>
      <w:r>
        <w:rPr>
          <w:rFonts w:ascii="Times New Roman" w:hAnsi="Times New Roman" w:cs="Times New Roman"/>
          <w:sz w:val="28"/>
          <w:szCs w:val="28"/>
        </w:rPr>
        <w:t xml:space="preserve"> new problems, including a strong need to maintain economic growth together with </w:t>
      </w:r>
      <w:r w:rsidR="00AB15FB">
        <w:rPr>
          <w:rFonts w:ascii="Times New Roman" w:hAnsi="Times New Roman" w:cs="Times New Roman"/>
          <w:sz w:val="28"/>
          <w:szCs w:val="28"/>
        </w:rPr>
        <w:t xml:space="preserve">a </w:t>
      </w:r>
      <w:r>
        <w:rPr>
          <w:rFonts w:ascii="Times New Roman" w:hAnsi="Times New Roman" w:cs="Times New Roman"/>
          <w:sz w:val="28"/>
          <w:szCs w:val="28"/>
        </w:rPr>
        <w:t>high probability of increasing exchange rates and imported inflation.</w:t>
      </w:r>
    </w:p>
    <w:p w14:paraId="5764F0E1" w14:textId="437292E9" w:rsidR="00442AD0" w:rsidRDefault="00714119">
      <w:pPr>
        <w:pStyle w:val="af0"/>
        <w:spacing w:after="0"/>
        <w:jc w:val="both"/>
      </w:pPr>
      <w:r>
        <w:rPr>
          <w:rFonts w:ascii="Times New Roman" w:hAnsi="Times New Roman" w:cs="Times New Roman"/>
          <w:sz w:val="28"/>
          <w:szCs w:val="28"/>
        </w:rPr>
        <w:tab/>
        <w:t xml:space="preserve">The </w:t>
      </w:r>
      <w:r>
        <w:rPr>
          <w:rStyle w:val="a8"/>
          <w:rFonts w:ascii="Times New Roman" w:hAnsi="Times New Roman" w:cs="Times New Roman"/>
          <w:i w:val="0"/>
          <w:sz w:val="28"/>
          <w:szCs w:val="28"/>
        </w:rPr>
        <w:t xml:space="preserve">situation is getting even </w:t>
      </w:r>
      <w:r>
        <w:rPr>
          <w:rFonts w:ascii="Times New Roman" w:hAnsi="Times New Roman" w:cs="Times New Roman"/>
          <w:sz w:val="28"/>
          <w:szCs w:val="28"/>
        </w:rPr>
        <w:t xml:space="preserve">more complicated since the world is experiencing the fundamental transformations brought by the 4th Industrial Revolution. Many of its technologies are still </w:t>
      </w:r>
      <w:r w:rsidR="00AB15FB">
        <w:rPr>
          <w:rFonts w:ascii="Times New Roman" w:hAnsi="Times New Roman" w:cs="Times New Roman"/>
          <w:sz w:val="28"/>
          <w:szCs w:val="28"/>
        </w:rPr>
        <w:t>in</w:t>
      </w:r>
      <w:r>
        <w:rPr>
          <w:rFonts w:ascii="Times New Roman" w:hAnsi="Times New Roman" w:cs="Times New Roman"/>
          <w:sz w:val="28"/>
          <w:szCs w:val="28"/>
        </w:rPr>
        <w:t xml:space="preserve"> the initial phase, which means that further steps would require active government support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Vishnevsky, 2022</w:t>
      </w:r>
      <w:r w:rsidR="00C729A4">
        <w:rPr>
          <w:rFonts w:ascii="Times New Roman" w:hAnsi="Times New Roman" w:cs="Times New Roman"/>
          <w:sz w:val="28"/>
          <w:szCs w:val="28"/>
        </w:rPr>
        <w:t>)</w:t>
      </w:r>
      <w:r>
        <w:rPr>
          <w:rFonts w:ascii="Times New Roman" w:hAnsi="Times New Roman" w:cs="Times New Roman"/>
          <w:sz w:val="28"/>
          <w:szCs w:val="28"/>
        </w:rPr>
        <w:t>, including new monetary policy measures. In this regard, an increase in money supply, long and cheap liquidity provision might have a positive impact on investment and real GDP growth. Whether this is the case and what preconditions are required for a positive scenario, is a matter of great theoretical and practical importance.</w:t>
      </w:r>
    </w:p>
    <w:p w14:paraId="5679BD61" w14:textId="03CD0EB7"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r>
      <w:r w:rsidR="005C1550">
        <w:rPr>
          <w:rFonts w:ascii="Times New Roman" w:hAnsi="Times New Roman" w:cs="Times New Roman"/>
          <w:sz w:val="28"/>
          <w:szCs w:val="28"/>
        </w:rPr>
        <w:t>The question of h</w:t>
      </w:r>
      <w:r>
        <w:rPr>
          <w:rFonts w:ascii="Times New Roman" w:hAnsi="Times New Roman" w:cs="Times New Roman"/>
          <w:sz w:val="28"/>
          <w:szCs w:val="28"/>
        </w:rPr>
        <w:t xml:space="preserve">ow the changes in money supply influence investment and GDP </w:t>
      </w:r>
      <w:r w:rsidR="00AB15FB">
        <w:rPr>
          <w:rFonts w:ascii="Times New Roman" w:hAnsi="Times New Roman" w:cs="Times New Roman"/>
          <w:sz w:val="28"/>
          <w:szCs w:val="28"/>
        </w:rPr>
        <w:t>have</w:t>
      </w:r>
      <w:r>
        <w:rPr>
          <w:rFonts w:ascii="Times New Roman" w:hAnsi="Times New Roman" w:cs="Times New Roman"/>
          <w:sz w:val="28"/>
          <w:szCs w:val="28"/>
        </w:rPr>
        <w:t xml:space="preserve"> been studied intensively in recent history. However, not all aspects of this impact have been sufficiently researched. In particular, the “new normality”</w:t>
      </w:r>
      <w:r w:rsidR="00295F52">
        <w:rPr>
          <w:rFonts w:ascii="Times New Roman" w:hAnsi="Times New Roman" w:cs="Times New Roman"/>
          <w:sz w:val="28"/>
          <w:szCs w:val="28"/>
        </w:rPr>
        <w:t>,</w:t>
      </w:r>
      <w:r>
        <w:rPr>
          <w:rFonts w:ascii="Times New Roman" w:hAnsi="Times New Roman" w:cs="Times New Roman"/>
          <w:sz w:val="28"/>
          <w:szCs w:val="28"/>
        </w:rPr>
        <w:t xml:space="preserve"> that has evolved in recent years</w:t>
      </w:r>
      <w:r w:rsidR="00295F52">
        <w:rPr>
          <w:rFonts w:ascii="Times New Roman" w:hAnsi="Times New Roman" w:cs="Times New Roman"/>
          <w:sz w:val="28"/>
          <w:szCs w:val="28"/>
        </w:rPr>
        <w:t>,</w:t>
      </w:r>
      <w:r>
        <w:rPr>
          <w:rFonts w:ascii="Times New Roman" w:hAnsi="Times New Roman" w:cs="Times New Roman"/>
          <w:sz w:val="28"/>
          <w:szCs w:val="28"/>
        </w:rPr>
        <w:t xml:space="preserve"> limits the use of well-known classical concepts and models in monetary policy, especially for emerging economies to which Ukraine belongs.</w:t>
      </w:r>
    </w:p>
    <w:p w14:paraId="176323AF" w14:textId="1EAF8EC6"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lastRenderedPageBreak/>
        <w:tab/>
        <w:t>In this regard, the subject of the study is to assess the relationship between mo</w:t>
      </w:r>
      <w:r w:rsidR="00965D4F">
        <w:rPr>
          <w:rFonts w:ascii="Times New Roman" w:hAnsi="Times New Roman" w:cs="Times New Roman"/>
          <w:sz w:val="28"/>
          <w:szCs w:val="28"/>
        </w:rPr>
        <w:t>n</w:t>
      </w:r>
      <w:r>
        <w:rPr>
          <w:rFonts w:ascii="Times New Roman" w:hAnsi="Times New Roman" w:cs="Times New Roman"/>
          <w:sz w:val="28"/>
          <w:szCs w:val="28"/>
        </w:rPr>
        <w:t>etary aggregates, investment, and GDP by the world economic data analysis using mathematical statistics. The goal is to identify the elements of this relationship and describe their differences for various economies at the current stage of world development.</w:t>
      </w:r>
    </w:p>
    <w:p w14:paraId="515CA433" w14:textId="7F0EE14E"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The article is structured as follows. First, it presents a brief predecessor studies overview and substantiates the research methods. Then the analysis of the relationship between money supply, investment, and GDP in different countries is given. The applied statistical methods are used in this part. After discussing the results, the paper makes inferences, draws conclusions, and suggests directions for further research.</w:t>
      </w:r>
    </w:p>
    <w:p w14:paraId="6A141822" w14:textId="77777777" w:rsidR="00442AD0" w:rsidRDefault="00442AD0">
      <w:pPr>
        <w:jc w:val="center"/>
        <w:rPr>
          <w:rFonts w:ascii="Times New Roman" w:hAnsi="Times New Roman" w:cs="Times New Roman"/>
          <w:b/>
          <w:bCs/>
          <w:sz w:val="28"/>
          <w:szCs w:val="28"/>
        </w:rPr>
      </w:pPr>
    </w:p>
    <w:p w14:paraId="1FEEC7DD" w14:textId="77777777" w:rsidR="00442AD0" w:rsidRDefault="00442AD0">
      <w:pPr>
        <w:jc w:val="center"/>
        <w:rPr>
          <w:rFonts w:ascii="Times New Roman" w:hAnsi="Times New Roman" w:cs="Times New Roman"/>
          <w:sz w:val="28"/>
          <w:szCs w:val="28"/>
        </w:rPr>
      </w:pPr>
    </w:p>
    <w:p w14:paraId="26763843" w14:textId="77777777" w:rsidR="00442AD0" w:rsidRPr="00CC7DD4" w:rsidRDefault="00714119">
      <w:pPr>
        <w:pStyle w:val="af0"/>
        <w:jc w:val="center"/>
        <w:rPr>
          <w:color w:val="1F3864" w:themeColor="accent1" w:themeShade="80"/>
        </w:rPr>
      </w:pPr>
      <w:r w:rsidRPr="00CC7DD4">
        <w:rPr>
          <w:rStyle w:val="StrongEmphasis"/>
          <w:rFonts w:ascii="Times New Roman" w:hAnsi="Times New Roman" w:cs="Times New Roman"/>
          <w:color w:val="1F3864" w:themeColor="accent1" w:themeShade="80"/>
          <w:sz w:val="28"/>
          <w:szCs w:val="28"/>
        </w:rPr>
        <w:t>Review</w:t>
      </w:r>
    </w:p>
    <w:p w14:paraId="2059270D" w14:textId="77777777"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Among the different goals that economic policy pursues, the most important one is GDP growth, which is highly dependent on many factors. If we put aside for a while the influence of commodity markets, labor migration, innovation, etc., then the money supply will perhaps have the strongest influence on GDP. Although as shown below, a change in the money supply directly or indirectly affects the discarded factors, causing even more complex effects. And the main transmission mechanisms of influence are aggregate demand and investments (gross volume and structure).</w:t>
      </w:r>
    </w:p>
    <w:p w14:paraId="173BE6DB" w14:textId="77777777" w:rsidR="00442AD0" w:rsidRDefault="00714119">
      <w:pPr>
        <w:pStyle w:val="af0"/>
        <w:spacing w:after="0"/>
        <w:jc w:val="both"/>
      </w:pPr>
      <w:r>
        <w:rPr>
          <w:rFonts w:ascii="Times New Roman" w:hAnsi="Times New Roman" w:cs="Times New Roman"/>
          <w:sz w:val="28"/>
          <w:szCs w:val="28"/>
        </w:rPr>
        <w:tab/>
        <w:t>The impact of money supply on GDP growth is non-linear. The rise in the money supply (if it is uncontrolled) leads to inflation, which, by creating additional costs for economic entities leads to a reduction in working capital, income, and investment. At the same time, distortions of information caused by inflation provoke systematic errors in making economic and, especially, investment decisions. As a result, structural problems in the economy get worse. Negative dynamics of GDP may happen as a result.</w:t>
      </w:r>
    </w:p>
    <w:p w14:paraId="70141DD2" w14:textId="6C583AC0"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 xml:space="preserve">It seems that the containment of emissions and the "sterilization" of the money supply should curb inflation and promote GDP growth. But the balance between surplus and scarcity is very delicate. A lack of money supply causes no less painful consequences, than money excess. This issue will be discussed in more detail below. For now, it suffices to mention that the presence of slight inflation driven by the growth of monetary aggregates is beneficial for the economy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Adam, Weber, 2019</w:t>
      </w:r>
      <w:r w:rsidR="00C729A4">
        <w:rPr>
          <w:rFonts w:ascii="Times New Roman" w:hAnsi="Times New Roman" w:cs="Times New Roman"/>
          <w:sz w:val="28"/>
          <w:szCs w:val="28"/>
        </w:rPr>
        <w:t>)</w:t>
      </w:r>
      <w:r>
        <w:rPr>
          <w:rFonts w:ascii="Times New Roman" w:hAnsi="Times New Roman" w:cs="Times New Roman"/>
          <w:sz w:val="28"/>
          <w:szCs w:val="28"/>
        </w:rPr>
        <w:t xml:space="preserve">, and under certain conditions, a negative non-linear relationship between inflation and unemployment can be observed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Phillips,1958</w:t>
      </w:r>
      <w:r w:rsidR="00C729A4">
        <w:rPr>
          <w:rFonts w:ascii="Times New Roman" w:hAnsi="Times New Roman" w:cs="Times New Roman"/>
          <w:sz w:val="28"/>
          <w:szCs w:val="28"/>
        </w:rPr>
        <w:t>)</w:t>
      </w:r>
      <w:r>
        <w:rPr>
          <w:rFonts w:ascii="Times New Roman" w:hAnsi="Times New Roman" w:cs="Times New Roman"/>
          <w:sz w:val="28"/>
          <w:szCs w:val="28"/>
        </w:rPr>
        <w:t>.</w:t>
      </w:r>
    </w:p>
    <w:p w14:paraId="4EC8FF51" w14:textId="29CE4CAF" w:rsidR="00442AD0" w:rsidRDefault="00714119">
      <w:pPr>
        <w:pStyle w:val="af0"/>
        <w:spacing w:after="0"/>
        <w:jc w:val="both"/>
      </w:pPr>
      <w:r>
        <w:rPr>
          <w:rFonts w:ascii="Times New Roman" w:hAnsi="Times New Roman" w:cs="Times New Roman"/>
          <w:sz w:val="28"/>
          <w:szCs w:val="28"/>
        </w:rPr>
        <w:tab/>
        <w:t xml:space="preserve">Since interdependencies between GDP and other macroeconomic factors are complex, economic policy </w:t>
      </w:r>
      <w:r w:rsidR="00AB15FB" w:rsidRPr="00AB15FB">
        <w:rPr>
          <w:rFonts w:ascii="Times New Roman" w:hAnsi="Times New Roman" w:cs="Times New Roman"/>
          <w:sz w:val="28"/>
          <w:szCs w:val="28"/>
        </w:rPr>
        <w:t>simultaneously uses many levers of control</w:t>
      </w:r>
      <w:r>
        <w:rPr>
          <w:rFonts w:ascii="Times New Roman" w:hAnsi="Times New Roman" w:cs="Times New Roman"/>
          <w:sz w:val="28"/>
          <w:szCs w:val="28"/>
        </w:rPr>
        <w:t>. In addition to GDP growth, they are moderate inflation, control of unemployment, limiting the budget deficit</w:t>
      </w:r>
      <w:r w:rsidR="006D1761">
        <w:rPr>
          <w:rFonts w:ascii="Times New Roman" w:hAnsi="Times New Roman" w:cs="Times New Roman"/>
          <w:sz w:val="28"/>
          <w:szCs w:val="28"/>
        </w:rPr>
        <w:t>,</w:t>
      </w:r>
      <w:r>
        <w:rPr>
          <w:rFonts w:ascii="Times New Roman" w:hAnsi="Times New Roman" w:cs="Times New Roman"/>
          <w:sz w:val="28"/>
          <w:szCs w:val="28"/>
        </w:rPr>
        <w:t xml:space="preserve"> and maintaining an acceptable trade balance. The multidimensional criterion of success, which takes into account the above-mentioned factors, has been </w:t>
      </w:r>
      <w:r>
        <w:rPr>
          <w:rFonts w:ascii="Times New Roman" w:hAnsi="Times New Roman" w:cs="Times New Roman"/>
          <w:sz w:val="28"/>
          <w:szCs w:val="28"/>
        </w:rPr>
        <w:lastRenderedPageBreak/>
        <w:t>called the "magic" quadrangle. It usually demonstrates the impossibility of achieving all four goals simultaneously (Fig. 1).</w:t>
      </w:r>
    </w:p>
    <w:p w14:paraId="0FF7B459" w14:textId="123D1692"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 xml:space="preserve">Therefore, economic policy is often forced to count on higher priority tasks, sacrificing the rest. During a severe economic downturn, inflation and budget deficits are usually sacrificed to recover and accelerate GDP growth. The entire quantitative easing policy pursued by the United States is proof of this. Low-interest rates and "helicopter" money allowed the US to restore stock indices and return GDP growth, but at the cost of inflation rising. The consumer price index in the United States increased by 2021 to a record level for 40 years – 6.8%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Inflation in the US accelerated to a record since 1982, 2021</w:t>
      </w:r>
      <w:r w:rsidR="00C729A4">
        <w:rPr>
          <w:rFonts w:ascii="Times New Roman" w:hAnsi="Times New Roman" w:cs="Times New Roman"/>
          <w:sz w:val="28"/>
          <w:szCs w:val="28"/>
        </w:rPr>
        <w:t>).</w:t>
      </w:r>
    </w:p>
    <w:p w14:paraId="4C9791FD" w14:textId="6DC88487" w:rsidR="00CF00C9" w:rsidRDefault="00CF00C9">
      <w:pPr>
        <w:pStyle w:val="af0"/>
        <w:spacing w:after="0"/>
        <w:jc w:val="both"/>
        <w:rPr>
          <w:rFonts w:ascii="Times New Roman" w:hAnsi="Times New Roman" w:cs="Times New Roman"/>
          <w:sz w:val="28"/>
          <w:szCs w:val="28"/>
        </w:rPr>
      </w:pPr>
    </w:p>
    <w:p w14:paraId="40912548" w14:textId="77777777" w:rsidR="00CF00C9" w:rsidRDefault="00CF00C9">
      <w:pPr>
        <w:pStyle w:val="af0"/>
        <w:spacing w:after="0"/>
        <w:jc w:val="both"/>
        <w:rPr>
          <w:rFonts w:ascii="Times New Roman" w:hAnsi="Times New Roman" w:cs="Times New Roman"/>
          <w:sz w:val="28"/>
          <w:szCs w:val="28"/>
        </w:rPr>
      </w:pPr>
    </w:p>
    <w:p w14:paraId="2CCE7FB8" w14:textId="77777777" w:rsidR="00442AD0" w:rsidRDefault="00714119">
      <w:pPr>
        <w:ind w:firstLine="709"/>
        <w:jc w:val="both"/>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9" behindDoc="0" locked="0" layoutInCell="0" allowOverlap="1" wp14:anchorId="55A0C82D" wp14:editId="142C43B6">
            <wp:simplePos x="0" y="0"/>
            <wp:positionH relativeFrom="column">
              <wp:posOffset>1139825</wp:posOffset>
            </wp:positionH>
            <wp:positionV relativeFrom="paragraph">
              <wp:posOffset>207645</wp:posOffset>
            </wp:positionV>
            <wp:extent cx="3602990" cy="22078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3602990" cy="2207895"/>
                    </a:xfrm>
                    <a:prstGeom prst="rect">
                      <a:avLst/>
                    </a:prstGeom>
                  </pic:spPr>
                </pic:pic>
              </a:graphicData>
            </a:graphic>
          </wp:anchor>
        </w:drawing>
      </w:r>
    </w:p>
    <w:p w14:paraId="090670F7" w14:textId="77777777" w:rsidR="00442AD0" w:rsidRDefault="00442AD0">
      <w:pPr>
        <w:ind w:firstLine="709"/>
        <w:jc w:val="both"/>
        <w:rPr>
          <w:rFonts w:ascii="Times New Roman" w:hAnsi="Times New Roman" w:cs="Times New Roman"/>
          <w:sz w:val="28"/>
          <w:szCs w:val="28"/>
        </w:rPr>
      </w:pPr>
    </w:p>
    <w:p w14:paraId="57287345" w14:textId="77777777" w:rsidR="00442AD0" w:rsidRDefault="00442AD0">
      <w:pPr>
        <w:ind w:firstLine="709"/>
        <w:jc w:val="both"/>
        <w:rPr>
          <w:rFonts w:ascii="Times New Roman" w:hAnsi="Times New Roman" w:cs="Times New Roman"/>
          <w:sz w:val="28"/>
          <w:szCs w:val="28"/>
        </w:rPr>
      </w:pPr>
    </w:p>
    <w:p w14:paraId="45DAF91B" w14:textId="77777777" w:rsidR="00442AD0" w:rsidRDefault="00442AD0">
      <w:pPr>
        <w:ind w:firstLine="709"/>
        <w:jc w:val="both"/>
        <w:rPr>
          <w:rFonts w:ascii="Times New Roman" w:hAnsi="Times New Roman" w:cs="Times New Roman"/>
          <w:sz w:val="28"/>
          <w:szCs w:val="28"/>
        </w:rPr>
      </w:pPr>
    </w:p>
    <w:p w14:paraId="7C934EE1" w14:textId="77777777" w:rsidR="00442AD0" w:rsidRDefault="00442AD0">
      <w:pPr>
        <w:ind w:firstLine="709"/>
        <w:jc w:val="both"/>
        <w:rPr>
          <w:rFonts w:ascii="Times New Roman" w:hAnsi="Times New Roman" w:cs="Times New Roman"/>
          <w:sz w:val="28"/>
          <w:szCs w:val="28"/>
        </w:rPr>
      </w:pPr>
    </w:p>
    <w:p w14:paraId="3A461848" w14:textId="77777777" w:rsidR="00442AD0" w:rsidRDefault="00442AD0">
      <w:pPr>
        <w:ind w:firstLine="709"/>
        <w:jc w:val="both"/>
        <w:rPr>
          <w:rFonts w:ascii="Times New Roman" w:hAnsi="Times New Roman" w:cs="Times New Roman"/>
          <w:sz w:val="28"/>
          <w:szCs w:val="28"/>
        </w:rPr>
      </w:pPr>
    </w:p>
    <w:p w14:paraId="2E1E5674" w14:textId="77777777" w:rsidR="00442AD0" w:rsidRDefault="00442AD0">
      <w:pPr>
        <w:ind w:firstLine="709"/>
        <w:jc w:val="both"/>
        <w:rPr>
          <w:rFonts w:ascii="Times New Roman" w:hAnsi="Times New Roman" w:cs="Times New Roman"/>
          <w:sz w:val="28"/>
          <w:szCs w:val="28"/>
        </w:rPr>
      </w:pPr>
    </w:p>
    <w:p w14:paraId="5CE760E1" w14:textId="77777777" w:rsidR="00442AD0" w:rsidRDefault="00442AD0">
      <w:pPr>
        <w:ind w:firstLine="709"/>
        <w:jc w:val="both"/>
        <w:rPr>
          <w:rFonts w:ascii="Times New Roman" w:hAnsi="Times New Roman" w:cs="Times New Roman"/>
          <w:sz w:val="28"/>
          <w:szCs w:val="28"/>
        </w:rPr>
      </w:pPr>
    </w:p>
    <w:p w14:paraId="337C6F2E" w14:textId="77777777" w:rsidR="00442AD0" w:rsidRDefault="00442AD0">
      <w:pPr>
        <w:ind w:firstLine="709"/>
        <w:jc w:val="both"/>
        <w:rPr>
          <w:rFonts w:ascii="Times New Roman" w:hAnsi="Times New Roman" w:cs="Times New Roman"/>
          <w:sz w:val="28"/>
          <w:szCs w:val="28"/>
        </w:rPr>
      </w:pPr>
    </w:p>
    <w:p w14:paraId="47C21093" w14:textId="77777777" w:rsidR="00442AD0" w:rsidRDefault="00442AD0">
      <w:pPr>
        <w:ind w:firstLine="709"/>
        <w:jc w:val="both"/>
        <w:rPr>
          <w:rFonts w:ascii="Times New Roman" w:hAnsi="Times New Roman" w:cs="Times New Roman"/>
          <w:sz w:val="28"/>
          <w:szCs w:val="28"/>
        </w:rPr>
      </w:pPr>
    </w:p>
    <w:p w14:paraId="7B02C193" w14:textId="77777777" w:rsidR="00442AD0" w:rsidRDefault="00442AD0">
      <w:pPr>
        <w:ind w:firstLine="709"/>
        <w:jc w:val="both"/>
        <w:rPr>
          <w:rFonts w:ascii="Times New Roman" w:hAnsi="Times New Roman" w:cs="Times New Roman"/>
          <w:sz w:val="28"/>
          <w:szCs w:val="28"/>
        </w:rPr>
      </w:pPr>
    </w:p>
    <w:p w14:paraId="33C90D01" w14:textId="77777777" w:rsidR="00442AD0" w:rsidRDefault="00442AD0">
      <w:pPr>
        <w:jc w:val="center"/>
        <w:rPr>
          <w:rFonts w:ascii="Times New Roman" w:hAnsi="Times New Roman" w:cs="Times New Roman"/>
          <w:sz w:val="28"/>
          <w:szCs w:val="28"/>
        </w:rPr>
      </w:pPr>
    </w:p>
    <w:p w14:paraId="4304A8B8" w14:textId="5D9B91E1" w:rsidR="00442AD0" w:rsidRDefault="00714119">
      <w:pPr>
        <w:jc w:val="center"/>
        <w:rPr>
          <w:rFonts w:ascii="Times New Roman" w:hAnsi="Times New Roman" w:cs="Times New Roman"/>
          <w:sz w:val="28"/>
          <w:szCs w:val="28"/>
        </w:rPr>
      </w:pPr>
      <w:r>
        <w:rPr>
          <w:rFonts w:ascii="Times New Roman" w:hAnsi="Times New Roman" w:cs="Times New Roman"/>
          <w:sz w:val="28"/>
          <w:szCs w:val="28"/>
        </w:rPr>
        <w:t xml:space="preserve">Figure 1.  «Magical» quadrangle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Kaldor,1971</w:t>
      </w:r>
      <w:r w:rsidR="00C729A4">
        <w:rPr>
          <w:rFonts w:ascii="Times New Roman" w:hAnsi="Times New Roman" w:cs="Times New Roman"/>
          <w:sz w:val="28"/>
          <w:szCs w:val="28"/>
        </w:rPr>
        <w:t>)</w:t>
      </w:r>
    </w:p>
    <w:p w14:paraId="24C96E04" w14:textId="77777777" w:rsidR="00442AD0" w:rsidRDefault="00442AD0">
      <w:pPr>
        <w:ind w:firstLine="709"/>
        <w:jc w:val="both"/>
        <w:rPr>
          <w:rFonts w:ascii="Times New Roman" w:hAnsi="Times New Roman" w:cs="Times New Roman"/>
          <w:sz w:val="28"/>
          <w:szCs w:val="28"/>
        </w:rPr>
      </w:pPr>
    </w:p>
    <w:p w14:paraId="5E8E5AC1" w14:textId="77777777" w:rsidR="00442AD0" w:rsidRDefault="00442AD0">
      <w:pPr>
        <w:ind w:firstLine="709"/>
        <w:jc w:val="both"/>
        <w:rPr>
          <w:rFonts w:ascii="Times New Roman" w:hAnsi="Times New Roman" w:cs="Times New Roman"/>
          <w:sz w:val="28"/>
          <w:szCs w:val="28"/>
        </w:rPr>
      </w:pPr>
    </w:p>
    <w:p w14:paraId="163C8D03" w14:textId="75325839"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However, as you know, quad licet </w:t>
      </w:r>
      <w:proofErr w:type="spellStart"/>
      <w:r>
        <w:rPr>
          <w:rFonts w:ascii="Times New Roman" w:hAnsi="Times New Roman" w:cs="Times New Roman"/>
          <w:sz w:val="28"/>
          <w:szCs w:val="28"/>
        </w:rPr>
        <w:t>iovi</w:t>
      </w:r>
      <w:proofErr w:type="spellEnd"/>
      <w:r>
        <w:rPr>
          <w:rFonts w:ascii="Times New Roman" w:hAnsi="Times New Roman" w:cs="Times New Roman"/>
          <w:sz w:val="28"/>
          <w:szCs w:val="28"/>
        </w:rPr>
        <w:t xml:space="preserve">, non licet </w:t>
      </w:r>
      <w:proofErr w:type="spellStart"/>
      <w:r>
        <w:rPr>
          <w:rFonts w:ascii="Times New Roman" w:hAnsi="Times New Roman" w:cs="Times New Roman"/>
          <w:sz w:val="28"/>
          <w:szCs w:val="28"/>
        </w:rPr>
        <w:t>bovi</w:t>
      </w:r>
      <w:proofErr w:type="spellEnd"/>
      <w:r>
        <w:rPr>
          <w:rFonts w:ascii="Times New Roman" w:hAnsi="Times New Roman" w:cs="Times New Roman"/>
          <w:sz w:val="28"/>
          <w:szCs w:val="28"/>
        </w:rPr>
        <w:t xml:space="preserve">. The financial authorities of other countries (Russia, China, Brazil, etc.), on the contrary, </w:t>
      </w:r>
      <w:r w:rsidR="00B43D48">
        <w:rPr>
          <w:rFonts w:ascii="Times New Roman" w:hAnsi="Times New Roman" w:cs="Times New Roman"/>
          <w:sz w:val="28"/>
          <w:szCs w:val="28"/>
        </w:rPr>
        <w:t xml:space="preserve">have </w:t>
      </w:r>
      <w:r>
        <w:rPr>
          <w:rFonts w:ascii="Times New Roman" w:hAnsi="Times New Roman" w:cs="Times New Roman"/>
          <w:sz w:val="28"/>
          <w:szCs w:val="28"/>
        </w:rPr>
        <w:t xml:space="preserve">kept the interest rates at a high level since 2008. Their surge in inflation was mainly caused by non-emission factors. And despite the measures taken, the cancellation of the next stage of quantitative easing in the leading countries was followed by the expected outflow of capital from less developed economies to the USA, </w:t>
      </w:r>
      <w:r w:rsidR="00EC7110">
        <w:rPr>
          <w:rFonts w:ascii="Times New Roman" w:hAnsi="Times New Roman" w:cs="Times New Roman"/>
          <w:sz w:val="28"/>
          <w:szCs w:val="28"/>
        </w:rPr>
        <w:t xml:space="preserve">the </w:t>
      </w:r>
      <w:r w:rsidR="00D11A80">
        <w:rPr>
          <w:rFonts w:ascii="Times New Roman" w:hAnsi="Times New Roman" w:cs="Times New Roman"/>
          <w:sz w:val="28"/>
          <w:szCs w:val="28"/>
        </w:rPr>
        <w:t>UK</w:t>
      </w:r>
      <w:r>
        <w:rPr>
          <w:rFonts w:ascii="Times New Roman" w:hAnsi="Times New Roman" w:cs="Times New Roman"/>
          <w:sz w:val="28"/>
          <w:szCs w:val="28"/>
        </w:rPr>
        <w:t xml:space="preserve">, and Central Europe </w:t>
      </w:r>
      <w:r w:rsidR="00C729A4">
        <w:rPr>
          <w:rFonts w:ascii="Times New Roman" w:hAnsi="Times New Roman" w:cs="Times New Roman"/>
          <w:sz w:val="28"/>
          <w:szCs w:val="28"/>
        </w:rPr>
        <w:t>(</w:t>
      </w:r>
      <w:proofErr w:type="spellStart"/>
      <w:r w:rsidR="00C729A4">
        <w:rPr>
          <w:rFonts w:ascii="Times New Roman" w:hAnsi="Times New Roman" w:cs="Times New Roman"/>
          <w:sz w:val="28"/>
          <w:szCs w:val="28"/>
          <w:shd w:val="clear" w:color="auto" w:fill="FFFFFF"/>
        </w:rPr>
        <w:t>Zaiko</w:t>
      </w:r>
      <w:proofErr w:type="spellEnd"/>
      <w:r w:rsidR="00C729A4">
        <w:rPr>
          <w:rFonts w:ascii="Times New Roman" w:hAnsi="Times New Roman" w:cs="Times New Roman"/>
          <w:sz w:val="28"/>
          <w:szCs w:val="28"/>
          <w:shd w:val="clear" w:color="auto" w:fill="FFFFFF"/>
        </w:rPr>
        <w:t>, 2015</w:t>
      </w:r>
      <w:r w:rsidR="00C729A4">
        <w:rPr>
          <w:rFonts w:ascii="Times New Roman" w:hAnsi="Times New Roman" w:cs="Times New Roman"/>
          <w:sz w:val="28"/>
          <w:szCs w:val="28"/>
        </w:rPr>
        <w:t>)</w:t>
      </w:r>
      <w:r>
        <w:rPr>
          <w:rFonts w:ascii="Times New Roman" w:hAnsi="Times New Roman" w:cs="Times New Roman"/>
          <w:sz w:val="28"/>
          <w:szCs w:val="28"/>
        </w:rPr>
        <w:t>. The external debt of individual countries like Ukraine, Turkey, India, and some others increased significantly. The monetization of these economies has suffered a decline. It resulted in a natural "sterilization" of their finances.</w:t>
      </w:r>
    </w:p>
    <w:p w14:paraId="2BFA58F9" w14:textId="40D672BB"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Regardless of its cause, "money hunger" is considered by many economists no less evil than uncontrolled inflation </w:t>
      </w:r>
      <w:r w:rsidR="000828AF">
        <w:rPr>
          <w:rFonts w:ascii="Times New Roman" w:hAnsi="Times New Roman" w:cs="Times New Roman"/>
          <w:sz w:val="28"/>
          <w:szCs w:val="28"/>
        </w:rPr>
        <w:t>(</w:t>
      </w:r>
      <w:r w:rsidR="000828AF">
        <w:rPr>
          <w:rFonts w:ascii="Times New Roman" w:hAnsi="Times New Roman" w:cs="Times New Roman"/>
          <w:sz w:val="28"/>
          <w:szCs w:val="28"/>
          <w:shd w:val="clear" w:color="auto" w:fill="FFFFFF"/>
        </w:rPr>
        <w:t>Krugman, 2010</w:t>
      </w:r>
      <w:r w:rsidR="000828AF">
        <w:rPr>
          <w:rFonts w:ascii="Times New Roman" w:hAnsi="Times New Roman" w:cs="Times New Roman"/>
          <w:sz w:val="28"/>
          <w:szCs w:val="28"/>
        </w:rPr>
        <w:t>)</w:t>
      </w:r>
      <w:r>
        <w:rPr>
          <w:rFonts w:ascii="Times New Roman" w:hAnsi="Times New Roman" w:cs="Times New Roman"/>
          <w:sz w:val="28"/>
          <w:szCs w:val="28"/>
        </w:rPr>
        <w:t>. But despite this, people continue to believe in inflation targeting as the most useful vaccine against any economic disease. And the reason is not only the apparent simplicity of this recipe but its imposition by the world's leading financial institutions.</w:t>
      </w:r>
    </w:p>
    <w:p w14:paraId="3E341ABB" w14:textId="3C278320" w:rsidR="00442AD0" w:rsidRDefault="00714119" w:rsidP="00F47E58">
      <w:pPr>
        <w:spacing w:line="276" w:lineRule="auto"/>
        <w:ind w:firstLine="709"/>
        <w:jc w:val="both"/>
      </w:pPr>
      <w:r>
        <w:rPr>
          <w:rFonts w:ascii="Times New Roman" w:hAnsi="Times New Roman" w:cs="Times New Roman"/>
          <w:sz w:val="28"/>
          <w:szCs w:val="28"/>
        </w:rPr>
        <w:lastRenderedPageBreak/>
        <w:t xml:space="preserve">Inflation targeting performed through regulating monetary aggregates and/or discount rates is considered by economists differently. The character of their assessment largely depends on the state of the economy under study </w:t>
      </w:r>
      <w:r w:rsidR="000828AF">
        <w:rPr>
          <w:rFonts w:ascii="Times New Roman" w:hAnsi="Times New Roman" w:cs="Times New Roman"/>
          <w:sz w:val="28"/>
          <w:szCs w:val="28"/>
        </w:rPr>
        <w:t>(</w:t>
      </w:r>
      <w:r w:rsidR="000828AF">
        <w:rPr>
          <w:rFonts w:ascii="Times New Roman" w:hAnsi="Times New Roman" w:cs="Times New Roman"/>
          <w:sz w:val="28"/>
          <w:szCs w:val="28"/>
          <w:shd w:val="clear" w:color="auto" w:fill="FFFFFF"/>
        </w:rPr>
        <w:t>Stiglitz, 2008</w:t>
      </w:r>
      <w:r w:rsidR="000828AF">
        <w:rPr>
          <w:rFonts w:ascii="Times New Roman" w:hAnsi="Times New Roman" w:cs="Times New Roman"/>
          <w:sz w:val="28"/>
          <w:szCs w:val="28"/>
        </w:rPr>
        <w:t>)</w:t>
      </w:r>
      <w:r>
        <w:rPr>
          <w:rFonts w:ascii="Times New Roman" w:hAnsi="Times New Roman" w:cs="Times New Roman"/>
          <w:sz w:val="28"/>
          <w:szCs w:val="28"/>
        </w:rPr>
        <w:t xml:space="preserve">. For technologically and economically developed countries with huge capital stock, such targeting may </w:t>
      </w:r>
      <w:r w:rsidR="00AB15FB">
        <w:rPr>
          <w:rFonts w:ascii="Times New Roman" w:hAnsi="Times New Roman" w:cs="Times New Roman"/>
          <w:sz w:val="28"/>
          <w:szCs w:val="28"/>
        </w:rPr>
        <w:t>positively impact</w:t>
      </w:r>
      <w:r>
        <w:rPr>
          <w:rFonts w:ascii="Times New Roman" w:hAnsi="Times New Roman" w:cs="Times New Roman"/>
          <w:sz w:val="28"/>
          <w:szCs w:val="28"/>
        </w:rPr>
        <w:t xml:space="preserve"> GDP growth. On the contrary, for less developed countries with low capitalization or suppressed aggregate demand, statistical data prove the neutrality of the targeting policy or even its negative impact on GDP.</w:t>
      </w:r>
    </w:p>
    <w:p w14:paraId="6FF23C57" w14:textId="500A824E"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At the same time, despite the statistical analysis, the very logic of economic mechanisms suggests that the excessive pressure on inflation by restraining the money supply causes a corresponding pressure on demand and investment. As a counterargument, it is argued that it will be risky to allow inflation to rise to 6% and above. </w:t>
      </w:r>
      <w:r w:rsidR="006D1761">
        <w:rPr>
          <w:rFonts w:ascii="Times New Roman" w:hAnsi="Times New Roman" w:cs="Times New Roman"/>
          <w:sz w:val="28"/>
          <w:szCs w:val="28"/>
        </w:rPr>
        <w:t>Beyond</w:t>
      </w:r>
      <w:r>
        <w:rPr>
          <w:rFonts w:ascii="Times New Roman" w:hAnsi="Times New Roman" w:cs="Times New Roman"/>
          <w:sz w:val="28"/>
          <w:szCs w:val="28"/>
        </w:rPr>
        <w:t xml:space="preserve"> this line, price volatility, which is difficult to control, begins </w:t>
      </w:r>
      <w:r w:rsidR="000828AF">
        <w:rPr>
          <w:rFonts w:ascii="Times New Roman" w:hAnsi="Times New Roman" w:cs="Times New Roman"/>
          <w:sz w:val="28"/>
          <w:szCs w:val="28"/>
        </w:rPr>
        <w:t>(</w:t>
      </w:r>
      <w:proofErr w:type="spellStart"/>
      <w:r w:rsidR="000828AF">
        <w:rPr>
          <w:rFonts w:ascii="Times New Roman" w:hAnsi="Times New Roman" w:cs="Times New Roman"/>
          <w:sz w:val="28"/>
          <w:szCs w:val="28"/>
          <w:shd w:val="clear" w:color="auto" w:fill="FFFFFF"/>
        </w:rPr>
        <w:t>Perevyshina</w:t>
      </w:r>
      <w:proofErr w:type="spellEnd"/>
      <w:r w:rsidR="000828AF">
        <w:rPr>
          <w:rFonts w:ascii="Times New Roman" w:hAnsi="Times New Roman" w:cs="Times New Roman"/>
          <w:sz w:val="28"/>
          <w:szCs w:val="28"/>
          <w:shd w:val="clear" w:color="auto" w:fill="FFFFFF"/>
        </w:rPr>
        <w:t>, 2017</w:t>
      </w:r>
      <w:r w:rsidR="000828AF">
        <w:rPr>
          <w:rFonts w:ascii="Times New Roman" w:hAnsi="Times New Roman" w:cs="Times New Roman"/>
          <w:sz w:val="28"/>
          <w:szCs w:val="28"/>
        </w:rPr>
        <w:t>)</w:t>
      </w:r>
      <w:r>
        <w:rPr>
          <w:rFonts w:ascii="Times New Roman" w:hAnsi="Times New Roman" w:cs="Times New Roman"/>
          <w:sz w:val="28"/>
          <w:szCs w:val="28"/>
        </w:rPr>
        <w:t>.</w:t>
      </w:r>
    </w:p>
    <w:p w14:paraId="3B01CF97" w14:textId="3D2595A6"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However, even if a “green corridor” is set within 4-5%, effective targeting is still difficult to implement. In particular, the macroeconomic information required for the regulator is distributed unevenly over time. Prices, production statistics, budget revenue, and </w:t>
      </w:r>
      <w:r w:rsidR="00B75D68">
        <w:rPr>
          <w:rFonts w:ascii="Times New Roman" w:hAnsi="Times New Roman" w:cs="Times New Roman"/>
          <w:sz w:val="28"/>
          <w:szCs w:val="28"/>
        </w:rPr>
        <w:t>similar</w:t>
      </w:r>
      <w:r>
        <w:rPr>
          <w:rFonts w:ascii="Times New Roman" w:hAnsi="Times New Roman" w:cs="Times New Roman"/>
          <w:sz w:val="28"/>
          <w:szCs w:val="28"/>
        </w:rPr>
        <w:t xml:space="preserve"> data come to decision-making centers in different periods, which causes policy inaccuracies </w:t>
      </w:r>
      <w:r w:rsidR="000828AF">
        <w:rPr>
          <w:rFonts w:ascii="Times New Roman" w:hAnsi="Times New Roman" w:cs="Times New Roman"/>
          <w:sz w:val="28"/>
          <w:szCs w:val="28"/>
        </w:rPr>
        <w:t>(</w:t>
      </w:r>
      <w:proofErr w:type="spellStart"/>
      <w:r w:rsidR="000828AF">
        <w:rPr>
          <w:rFonts w:ascii="Times New Roman" w:hAnsi="Times New Roman" w:cs="Times New Roman"/>
          <w:sz w:val="28"/>
          <w:szCs w:val="28"/>
          <w:shd w:val="clear" w:color="auto" w:fill="FFFFFF"/>
        </w:rPr>
        <w:t>Kartaev</w:t>
      </w:r>
      <w:proofErr w:type="spellEnd"/>
      <w:r w:rsidR="000828AF">
        <w:rPr>
          <w:rFonts w:ascii="Times New Roman" w:hAnsi="Times New Roman" w:cs="Times New Roman"/>
          <w:sz w:val="28"/>
          <w:szCs w:val="28"/>
          <w:shd w:val="clear" w:color="auto" w:fill="FFFFFF"/>
        </w:rPr>
        <w:t xml:space="preserve">, 2017, </w:t>
      </w:r>
      <w:r w:rsidR="00A21606">
        <w:rPr>
          <w:rFonts w:ascii="Times New Roman" w:hAnsi="Times New Roman" w:cs="Times New Roman"/>
          <w:sz w:val="28"/>
          <w:szCs w:val="28"/>
          <w:shd w:val="clear" w:color="auto" w:fill="FFFFFF"/>
        </w:rPr>
        <w:t>Stiglitz, 2008, May 6</w:t>
      </w:r>
      <w:r w:rsidR="000828AF">
        <w:rPr>
          <w:rFonts w:ascii="Times New Roman" w:hAnsi="Times New Roman" w:cs="Times New Roman"/>
          <w:sz w:val="28"/>
          <w:szCs w:val="28"/>
        </w:rPr>
        <w:t>)</w:t>
      </w:r>
      <w:r>
        <w:rPr>
          <w:rFonts w:ascii="Times New Roman" w:hAnsi="Times New Roman" w:cs="Times New Roman"/>
          <w:sz w:val="28"/>
          <w:szCs w:val="28"/>
        </w:rPr>
        <w:t>. Delays in the arrival of information lead targeting to the blind pursuit of an elusive target. And the most likely consequence of this is the excessive "sterilization" of the money supply up to the aforementioned "money hunger".</w:t>
      </w:r>
    </w:p>
    <w:p w14:paraId="4F85A29B" w14:textId="3EF8D3E6"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The negative consequences of long-term compaction of monetary aggregates are numerous. Some researches show that "money hunger" is especially aggressive towards the industries with a complex technological structure, and a high share of added value </w:t>
      </w:r>
      <w:r w:rsidR="00A21606">
        <w:rPr>
          <w:rFonts w:ascii="Times New Roman" w:hAnsi="Times New Roman" w:cs="Times New Roman"/>
          <w:sz w:val="28"/>
          <w:szCs w:val="28"/>
        </w:rPr>
        <w:t>(</w:t>
      </w:r>
      <w:proofErr w:type="spellStart"/>
      <w:r w:rsidR="00A21606">
        <w:rPr>
          <w:rFonts w:ascii="Times New Roman" w:hAnsi="Times New Roman" w:cs="Times New Roman"/>
          <w:sz w:val="28"/>
          <w:szCs w:val="28"/>
          <w:shd w:val="clear" w:color="auto" w:fill="FFFFFF"/>
        </w:rPr>
        <w:t>Blinov</w:t>
      </w:r>
      <w:proofErr w:type="spellEnd"/>
      <w:r w:rsidR="00A21606">
        <w:rPr>
          <w:rFonts w:ascii="Times New Roman" w:hAnsi="Times New Roman" w:cs="Times New Roman"/>
          <w:sz w:val="28"/>
          <w:szCs w:val="28"/>
          <w:shd w:val="clear" w:color="auto" w:fill="FFFFFF"/>
        </w:rPr>
        <w:t>, 2015</w:t>
      </w:r>
      <w:r w:rsidR="00A21606">
        <w:rPr>
          <w:rFonts w:ascii="Times New Roman" w:hAnsi="Times New Roman" w:cs="Times New Roman"/>
          <w:sz w:val="28"/>
          <w:szCs w:val="28"/>
        </w:rPr>
        <w:t>)</w:t>
      </w:r>
      <w:r>
        <w:rPr>
          <w:rFonts w:ascii="Times New Roman" w:hAnsi="Times New Roman" w:cs="Times New Roman"/>
          <w:sz w:val="28"/>
          <w:szCs w:val="28"/>
        </w:rPr>
        <w:t xml:space="preserve">. As a result, the first consequence of money's "evaporation" from the economy is the </w:t>
      </w:r>
      <w:proofErr w:type="spellStart"/>
      <w:r>
        <w:rPr>
          <w:rFonts w:ascii="Times New Roman" w:hAnsi="Times New Roman" w:cs="Times New Roman"/>
          <w:sz w:val="28"/>
          <w:szCs w:val="28"/>
        </w:rPr>
        <w:t>primitivization</w:t>
      </w:r>
      <w:proofErr w:type="spellEnd"/>
      <w:r>
        <w:rPr>
          <w:rFonts w:ascii="Times New Roman" w:hAnsi="Times New Roman" w:cs="Times New Roman"/>
          <w:sz w:val="28"/>
          <w:szCs w:val="28"/>
        </w:rPr>
        <w:t xml:space="preserve"> of its structure, which is obviously the case in Ukraine.</w:t>
      </w:r>
    </w:p>
    <w:p w14:paraId="54BBEA7A" w14:textId="4AF81D0E" w:rsidR="00442AD0" w:rsidRDefault="00714119" w:rsidP="00F47E58">
      <w:pPr>
        <w:spacing w:line="276" w:lineRule="auto"/>
        <w:ind w:firstLine="709"/>
        <w:jc w:val="both"/>
      </w:pPr>
      <w:r>
        <w:rPr>
          <w:rFonts w:ascii="Times New Roman" w:hAnsi="Times New Roman" w:cs="Times New Roman"/>
          <w:sz w:val="28"/>
          <w:szCs w:val="28"/>
        </w:rPr>
        <w:t xml:space="preserve">The monetary deficit also leads to a simplification of the structure of </w:t>
      </w:r>
      <w:r w:rsidR="00A21606">
        <w:rPr>
          <w:rFonts w:ascii="Times New Roman" w:hAnsi="Times New Roman" w:cs="Times New Roman"/>
          <w:sz w:val="28"/>
          <w:szCs w:val="28"/>
        </w:rPr>
        <w:t>households’</w:t>
      </w:r>
      <w:r>
        <w:rPr>
          <w:rFonts w:ascii="Times New Roman" w:hAnsi="Times New Roman" w:cs="Times New Roman"/>
          <w:sz w:val="28"/>
          <w:szCs w:val="28"/>
        </w:rPr>
        <w:t xml:space="preserve"> consumption. The savings, and as a result, investments are going down. Investment strategies also boil down to the minimum need for survival, ignoring innovative, high-tech, and, especially, venture capital assets.</w:t>
      </w:r>
    </w:p>
    <w:p w14:paraId="481F1FD0" w14:textId="1BE3642C"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The reduction of high-tech industries and jobs causes an outflow of labor resources from the most promising sectors of the economy. As a result, labor migration may increase, and specifically, the outflow of the most qualified staff. All these factors, multiply reinforcing each other, cause multiple effects. </w:t>
      </w:r>
      <w:r w:rsidR="001468B5" w:rsidRPr="001468B5">
        <w:rPr>
          <w:rFonts w:ascii="Times New Roman" w:hAnsi="Times New Roman" w:cs="Times New Roman"/>
          <w:sz w:val="28"/>
          <w:szCs w:val="28"/>
        </w:rPr>
        <w:t>The impact of the real money supply contraction on the decline in GDP becomes non-linear. Its</w:t>
      </w:r>
      <w:r w:rsidR="00F26186">
        <w:rPr>
          <w:rFonts w:ascii="Times New Roman" w:hAnsi="Times New Roman" w:cs="Times New Roman"/>
          <w:sz w:val="28"/>
          <w:szCs w:val="28"/>
        </w:rPr>
        <w:t xml:space="preserve"> rise</w:t>
      </w:r>
      <w:r w:rsidR="001468B5" w:rsidRPr="001468B5">
        <w:rPr>
          <w:rFonts w:ascii="Times New Roman" w:hAnsi="Times New Roman" w:cs="Times New Roman"/>
          <w:sz w:val="28"/>
          <w:szCs w:val="28"/>
        </w:rPr>
        <w:t xml:space="preserve"> influence on GDP growth is also non-linear. But how exactly it works is a separate question.</w:t>
      </w:r>
    </w:p>
    <w:p w14:paraId="6D145211" w14:textId="77777777" w:rsidR="00442AD0" w:rsidRDefault="00442AD0">
      <w:pPr>
        <w:ind w:firstLine="709"/>
        <w:jc w:val="both"/>
        <w:rPr>
          <w:rFonts w:ascii="Times New Roman" w:hAnsi="Times New Roman" w:cs="Times New Roman"/>
          <w:sz w:val="28"/>
          <w:szCs w:val="28"/>
        </w:rPr>
      </w:pPr>
    </w:p>
    <w:p w14:paraId="3F9D3868" w14:textId="1B5006E9" w:rsidR="00CF00C9" w:rsidRDefault="00CF00C9">
      <w:pPr>
        <w:suppressAutoHyphens/>
        <w:overflowPunct/>
        <w:rPr>
          <w:rFonts w:ascii="Times New Roman" w:eastAsia="Arial Nova Cond Light" w:hAnsi="Times New Roman" w:cs="Times New Roman"/>
          <w:b/>
          <w:bCs/>
          <w:color w:val="002060"/>
          <w:sz w:val="28"/>
          <w:szCs w:val="28"/>
        </w:rPr>
      </w:pPr>
      <w:r>
        <w:rPr>
          <w:rFonts w:ascii="Times New Roman" w:eastAsia="Arial Nova Cond Light" w:hAnsi="Times New Roman" w:cs="Times New Roman"/>
          <w:b/>
          <w:bCs/>
          <w:color w:val="002060"/>
          <w:sz w:val="28"/>
          <w:szCs w:val="28"/>
        </w:rPr>
        <w:br w:type="page"/>
      </w:r>
    </w:p>
    <w:p w14:paraId="6825E49F" w14:textId="77777777" w:rsidR="00442AD0" w:rsidRDefault="00442AD0">
      <w:pPr>
        <w:jc w:val="both"/>
        <w:rPr>
          <w:rFonts w:ascii="Times New Roman" w:eastAsia="Arial Nova Cond Light" w:hAnsi="Times New Roman" w:cs="Times New Roman"/>
          <w:b/>
          <w:bCs/>
          <w:color w:val="002060"/>
          <w:sz w:val="28"/>
          <w:szCs w:val="28"/>
        </w:rPr>
      </w:pPr>
    </w:p>
    <w:p w14:paraId="0D89CCB8" w14:textId="77777777" w:rsidR="00442AD0" w:rsidRDefault="00714119">
      <w:pPr>
        <w:pStyle w:val="1"/>
        <w:jc w:val="center"/>
      </w:pPr>
      <w:r>
        <w:t>Econometric analysis</w:t>
      </w:r>
    </w:p>
    <w:p w14:paraId="7A7F67A3" w14:textId="77777777" w:rsidR="00442AD0" w:rsidRDefault="00714119">
      <w:pPr>
        <w:pStyle w:val="1"/>
        <w:tabs>
          <w:tab w:val="left" w:pos="8869"/>
        </w:tabs>
        <w:jc w:val="left"/>
        <w:rPr>
          <w:b w:val="0"/>
          <w:bCs w:val="0"/>
          <w:i/>
          <w:iCs/>
        </w:rPr>
      </w:pPr>
      <w:r>
        <w:rPr>
          <w:b w:val="0"/>
          <w:bCs w:val="0"/>
          <w:i/>
          <w:iCs/>
        </w:rPr>
        <w:t xml:space="preserve">          Problem formulation</w:t>
      </w:r>
    </w:p>
    <w:p w14:paraId="04B7CC48" w14:textId="46ACC084" w:rsidR="00442AD0" w:rsidRDefault="00714119" w:rsidP="00F47E58">
      <w:pPr>
        <w:spacing w:line="276" w:lineRule="auto"/>
        <w:jc w:val="both"/>
      </w:pPr>
      <w:r>
        <w:rPr>
          <w:rFonts w:ascii="Times New Roman" w:hAnsi="Times New Roman" w:cs="Times New Roman"/>
          <w:sz w:val="28"/>
          <w:szCs w:val="28"/>
        </w:rPr>
        <w:tab/>
        <w:t xml:space="preserve">S. </w:t>
      </w:r>
      <w:proofErr w:type="spellStart"/>
      <w:r>
        <w:rPr>
          <w:rFonts w:ascii="Times New Roman" w:hAnsi="Times New Roman" w:cs="Times New Roman"/>
          <w:sz w:val="28"/>
          <w:szCs w:val="28"/>
        </w:rPr>
        <w:t>Blinov</w:t>
      </w:r>
      <w:proofErr w:type="spellEnd"/>
      <w:r>
        <w:rPr>
          <w:rFonts w:ascii="Times New Roman" w:hAnsi="Times New Roman" w:cs="Times New Roman"/>
          <w:sz w:val="28"/>
          <w:szCs w:val="28"/>
        </w:rPr>
        <w:t xml:space="preserve"> (</w:t>
      </w:r>
      <w:proofErr w:type="spellStart"/>
      <w:r w:rsidR="002414BC">
        <w:rPr>
          <w:rFonts w:ascii="Times New Roman" w:hAnsi="Times New Roman" w:cs="Times New Roman"/>
          <w:sz w:val="28"/>
          <w:szCs w:val="28"/>
        </w:rPr>
        <w:t>Blinov</w:t>
      </w:r>
      <w:proofErr w:type="spellEnd"/>
      <w:r w:rsidR="002414BC">
        <w:rPr>
          <w:rFonts w:ascii="Times New Roman" w:hAnsi="Times New Roman" w:cs="Times New Roman"/>
          <w:sz w:val="28"/>
          <w:szCs w:val="28"/>
        </w:rPr>
        <w:t xml:space="preserve">, </w:t>
      </w:r>
      <w:r>
        <w:rPr>
          <w:rFonts w:ascii="Times New Roman" w:hAnsi="Times New Roman" w:cs="Times New Roman"/>
          <w:sz w:val="28"/>
          <w:szCs w:val="28"/>
        </w:rPr>
        <w:t>2016, p.9</w:t>
      </w:r>
      <w:r w:rsidR="00A21606">
        <w:rPr>
          <w:rFonts w:ascii="Times New Roman" w:hAnsi="Times New Roman" w:cs="Times New Roman"/>
          <w:sz w:val="28"/>
          <w:szCs w:val="28"/>
        </w:rPr>
        <w:t>)</w:t>
      </w:r>
      <w:r>
        <w:rPr>
          <w:rFonts w:ascii="Times New Roman" w:hAnsi="Times New Roman" w:cs="Times New Roman"/>
          <w:sz w:val="28"/>
          <w:szCs w:val="28"/>
        </w:rPr>
        <w:t xml:space="preserve"> describes the reasons why GDP growth requires not </w:t>
      </w:r>
      <w:r w:rsidR="00773A75">
        <w:rPr>
          <w:rFonts w:ascii="Times New Roman" w:hAnsi="Times New Roman" w:cs="Times New Roman"/>
          <w:sz w:val="28"/>
          <w:szCs w:val="28"/>
        </w:rPr>
        <w:t>only</w:t>
      </w:r>
      <w:r>
        <w:rPr>
          <w:rFonts w:ascii="Times New Roman" w:hAnsi="Times New Roman" w:cs="Times New Roman"/>
          <w:sz w:val="28"/>
          <w:szCs w:val="28"/>
        </w:rPr>
        <w:t xml:space="preserve"> recovery but an outstripping growth of the money supply. According to the author, "linear growth of real GDP requires exponential growth of real money supply." Among the reasons for this phenomenon</w:t>
      </w:r>
      <w:r w:rsidR="00773A75">
        <w:rPr>
          <w:rFonts w:ascii="Times New Roman" w:hAnsi="Times New Roman" w:cs="Times New Roman"/>
          <w:sz w:val="28"/>
          <w:szCs w:val="28"/>
        </w:rPr>
        <w:t>,</w:t>
      </w:r>
      <w:r>
        <w:rPr>
          <w:rFonts w:ascii="Times New Roman" w:hAnsi="Times New Roman" w:cs="Times New Roman"/>
          <w:sz w:val="28"/>
          <w:szCs w:val="28"/>
        </w:rPr>
        <w:t xml:space="preserve"> </w:t>
      </w:r>
      <w:r w:rsidR="00773A75">
        <w:rPr>
          <w:rFonts w:ascii="Times New Roman" w:hAnsi="Times New Roman" w:cs="Times New Roman"/>
          <w:sz w:val="28"/>
          <w:szCs w:val="28"/>
        </w:rPr>
        <w:t xml:space="preserve">there </w:t>
      </w:r>
      <w:r>
        <w:rPr>
          <w:rFonts w:ascii="Times New Roman" w:hAnsi="Times New Roman" w:cs="Times New Roman"/>
          <w:sz w:val="28"/>
          <w:szCs w:val="28"/>
        </w:rPr>
        <w:t>is the structural complexity of the economy. It means that an increase in money supply leads first to a rise in the number of transactions required to recreate (or form) this complex structure. Only then, to an increase in value-added, which is only a part of the total cost of transactions. Thus, figuratively speaking, monetary resources first fill all the buffers and channels of the "reclamation system" of the economy, and only then lead to "fertility".</w:t>
      </w:r>
    </w:p>
    <w:p w14:paraId="1A24A792" w14:textId="7A4DCB4C" w:rsidR="00442AD0" w:rsidRDefault="00714119" w:rsidP="00F47E58">
      <w:pPr>
        <w:spacing w:line="276" w:lineRule="auto"/>
        <w:jc w:val="both"/>
      </w:pPr>
      <w:r>
        <w:rPr>
          <w:rFonts w:ascii="Times New Roman" w:hAnsi="Times New Roman" w:cs="Times New Roman"/>
          <w:sz w:val="28"/>
          <w:szCs w:val="28"/>
        </w:rPr>
        <w:tab/>
        <w:t xml:space="preserve">This somewhat simplified logic ignores </w:t>
      </w:r>
      <w:r w:rsidR="000A7257">
        <w:rPr>
          <w:rFonts w:ascii="Times New Roman" w:hAnsi="Times New Roman" w:cs="Times New Roman"/>
          <w:sz w:val="28"/>
          <w:szCs w:val="28"/>
        </w:rPr>
        <w:t xml:space="preserve">technological development factors and </w:t>
      </w:r>
      <w:r>
        <w:rPr>
          <w:rFonts w:ascii="Times New Roman" w:hAnsi="Times New Roman" w:cs="Times New Roman"/>
          <w:sz w:val="28"/>
          <w:szCs w:val="28"/>
        </w:rPr>
        <w:t>life cycle</w:t>
      </w:r>
      <w:r w:rsidR="000A7257">
        <w:rPr>
          <w:rFonts w:ascii="Times New Roman" w:hAnsi="Times New Roman" w:cs="Times New Roman"/>
          <w:sz w:val="28"/>
          <w:szCs w:val="28"/>
        </w:rPr>
        <w:t>s</w:t>
      </w:r>
      <w:r>
        <w:rPr>
          <w:rFonts w:ascii="Times New Roman" w:hAnsi="Times New Roman" w:cs="Times New Roman"/>
          <w:sz w:val="28"/>
          <w:szCs w:val="28"/>
        </w:rPr>
        <w:t xml:space="preserve"> of technologies. Which is of strong importance in the time of the 4th Industrial Revolution. Not only an increase in the money supply and aggregate demand can secure the growth of breakthrough technologies. It is especially the truth for the microchips industry, which is the base of the modern digital economy. The microchips industry's development requires many other conditions and actions that go beyond the scope of the monetary policy.</w:t>
      </w:r>
    </w:p>
    <w:p w14:paraId="0B3D5579" w14:textId="7D4CFB38" w:rsidR="00442AD0" w:rsidRDefault="00714119" w:rsidP="00F47E58">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Nevertheless, under certain conditions, the </w:t>
      </w:r>
      <w:r w:rsidR="002414BC">
        <w:rPr>
          <w:rFonts w:ascii="Times New Roman" w:hAnsi="Times New Roman" w:cs="Times New Roman"/>
          <w:sz w:val="28"/>
          <w:szCs w:val="28"/>
        </w:rPr>
        <w:t xml:space="preserve">mentioned </w:t>
      </w:r>
      <w:r>
        <w:rPr>
          <w:rFonts w:ascii="Times New Roman" w:hAnsi="Times New Roman" w:cs="Times New Roman"/>
          <w:sz w:val="28"/>
          <w:szCs w:val="28"/>
        </w:rPr>
        <w:t xml:space="preserve">effects </w:t>
      </w:r>
      <w:r w:rsidR="00A21606">
        <w:rPr>
          <w:rFonts w:ascii="Times New Roman" w:hAnsi="Times New Roman" w:cs="Times New Roman"/>
          <w:sz w:val="28"/>
          <w:szCs w:val="28"/>
        </w:rPr>
        <w:t>(</w:t>
      </w:r>
      <w:proofErr w:type="spellStart"/>
      <w:r w:rsidR="00A21606">
        <w:rPr>
          <w:rFonts w:ascii="Times New Roman" w:hAnsi="Times New Roman" w:cs="Times New Roman"/>
          <w:sz w:val="28"/>
          <w:szCs w:val="28"/>
          <w:shd w:val="clear" w:color="auto" w:fill="FFFFFF"/>
        </w:rPr>
        <w:t>Blinov</w:t>
      </w:r>
      <w:proofErr w:type="spellEnd"/>
      <w:r w:rsidR="00A21606">
        <w:rPr>
          <w:rFonts w:ascii="Times New Roman" w:hAnsi="Times New Roman" w:cs="Times New Roman"/>
          <w:sz w:val="28"/>
          <w:szCs w:val="28"/>
          <w:shd w:val="clear" w:color="auto" w:fill="FFFFFF"/>
        </w:rPr>
        <w:t>, 2015</w:t>
      </w:r>
      <w:r w:rsidR="00A21606">
        <w:rPr>
          <w:rFonts w:ascii="Times New Roman" w:hAnsi="Times New Roman" w:cs="Times New Roman"/>
          <w:sz w:val="28"/>
          <w:szCs w:val="28"/>
        </w:rPr>
        <w:t xml:space="preserve">). </w:t>
      </w:r>
      <w:r>
        <w:rPr>
          <w:rFonts w:ascii="Times New Roman" w:hAnsi="Times New Roman" w:cs="Times New Roman"/>
          <w:sz w:val="28"/>
          <w:szCs w:val="28"/>
        </w:rPr>
        <w:t xml:space="preserve"> can take place. If we consider the state of the Ukrainian economy against the background of the problems discussed, we can get a good illustration of what has been said.</w:t>
      </w:r>
    </w:p>
    <w:p w14:paraId="4B04B6BB" w14:textId="35441975" w:rsidR="00442AD0" w:rsidRDefault="00714119" w:rsidP="00F47E58">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The trend of the monetary aggregate M3 of Ukraine is shown in the chart below </w:t>
      </w:r>
      <w:r w:rsidR="00A21606">
        <w:rPr>
          <w:rFonts w:ascii="Times New Roman" w:hAnsi="Times New Roman" w:cs="Times New Roman"/>
          <w:sz w:val="28"/>
          <w:szCs w:val="28"/>
        </w:rPr>
        <w:t xml:space="preserve">in </w:t>
      </w:r>
      <w:r>
        <w:rPr>
          <w:rFonts w:ascii="Times New Roman" w:hAnsi="Times New Roman" w:cs="Times New Roman"/>
          <w:sz w:val="28"/>
          <w:szCs w:val="28"/>
        </w:rPr>
        <w:t>Fig</w:t>
      </w:r>
      <w:r w:rsidR="00A21606">
        <w:rPr>
          <w:rFonts w:ascii="Times New Roman" w:hAnsi="Times New Roman" w:cs="Times New Roman"/>
          <w:sz w:val="28"/>
          <w:szCs w:val="28"/>
        </w:rPr>
        <w:t xml:space="preserve">. </w:t>
      </w:r>
      <w:r>
        <w:rPr>
          <w:rFonts w:ascii="Times New Roman" w:hAnsi="Times New Roman" w:cs="Times New Roman"/>
          <w:sz w:val="28"/>
          <w:szCs w:val="28"/>
        </w:rPr>
        <w:t xml:space="preserve">2 </w:t>
      </w:r>
      <w:r w:rsidR="00A21606">
        <w:rPr>
          <w:rFonts w:ascii="Times New Roman" w:hAnsi="Times New Roman" w:cs="Times New Roman"/>
          <w:sz w:val="28"/>
          <w:szCs w:val="28"/>
        </w:rPr>
        <w:t>(</w:t>
      </w:r>
      <w:r w:rsidR="00A21606">
        <w:rPr>
          <w:rFonts w:ascii="Times New Roman" w:hAnsi="Times New Roman" w:cs="Times New Roman"/>
          <w:sz w:val="28"/>
          <w:szCs w:val="28"/>
          <w:shd w:val="clear" w:color="auto" w:fill="FFFFFF"/>
        </w:rPr>
        <w:t>National Bank of Ukraine</w:t>
      </w:r>
      <w:r w:rsidR="00A21606">
        <w:rPr>
          <w:rFonts w:ascii="Times New Roman" w:hAnsi="Times New Roman" w:cs="Times New Roman"/>
          <w:sz w:val="28"/>
          <w:szCs w:val="28"/>
        </w:rPr>
        <w:t>)</w:t>
      </w:r>
      <w:r>
        <w:rPr>
          <w:rFonts w:ascii="Times New Roman" w:hAnsi="Times New Roman" w:cs="Times New Roman"/>
          <w:sz w:val="28"/>
          <w:szCs w:val="28"/>
        </w:rPr>
        <w:t xml:space="preserve">. Fig. 3 also shows an increase in the inflation rates and prices for construction work, which illustrates the inflation of investment opportunities </w:t>
      </w:r>
      <w:r w:rsidR="00CF00C9">
        <w:rPr>
          <w:rFonts w:ascii="Times New Roman" w:hAnsi="Times New Roman" w:cs="Times New Roman"/>
          <w:sz w:val="28"/>
          <w:szCs w:val="28"/>
        </w:rPr>
        <w:t>(</w:t>
      </w:r>
      <w:r w:rsidR="00CF00C9">
        <w:rPr>
          <w:rFonts w:ascii="Times New Roman" w:hAnsi="Times New Roman" w:cs="Times New Roman"/>
          <w:sz w:val="28"/>
          <w:szCs w:val="28"/>
          <w:shd w:val="clear" w:color="auto" w:fill="FFFFFF"/>
        </w:rPr>
        <w:t>Ministry of Finance of Ukraine</w:t>
      </w:r>
      <w:r w:rsidR="00CF00C9">
        <w:rPr>
          <w:rFonts w:ascii="Times New Roman" w:hAnsi="Times New Roman" w:cs="Times New Roman"/>
          <w:sz w:val="28"/>
          <w:szCs w:val="28"/>
        </w:rPr>
        <w:t>)</w:t>
      </w:r>
      <w:r>
        <w:rPr>
          <w:rFonts w:ascii="Times New Roman" w:hAnsi="Times New Roman" w:cs="Times New Roman"/>
          <w:sz w:val="28"/>
          <w:szCs w:val="28"/>
        </w:rPr>
        <w:t>.</w:t>
      </w:r>
    </w:p>
    <w:p w14:paraId="36154E3B" w14:textId="77777777" w:rsidR="00CF00C9" w:rsidRDefault="00CF00C9" w:rsidP="00CF00C9">
      <w:pPr>
        <w:spacing w:line="276" w:lineRule="auto"/>
        <w:ind w:firstLine="709"/>
        <w:jc w:val="both"/>
      </w:pPr>
      <w:r>
        <w:rPr>
          <w:rFonts w:ascii="Times New Roman" w:hAnsi="Times New Roman" w:cs="Times New Roman"/>
          <w:sz w:val="28"/>
          <w:szCs w:val="28"/>
        </w:rPr>
        <w:t>From the illustrations above it is obvious, that the fall in the real money supply was about 10% between 2015 and 2020. Against the background of a long-term decline in real M3, its notable growth happened only in recent years (about 20% in 2020), while the inflation rate was much higher throughout the entire period under consideration.</w:t>
      </w:r>
    </w:p>
    <w:p w14:paraId="6A66F7D6" w14:textId="741C3E1B" w:rsidR="00CF00C9" w:rsidRDefault="00CF00C9" w:rsidP="00CF00C9">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The correspondence between the money supply and the productivity of the economy is usually measured by the monetization coefficient (</w:t>
      </w:r>
      <w:proofErr w:type="spellStart"/>
      <w:r>
        <w:rPr>
          <w:rFonts w:ascii="Times New Roman" w:hAnsi="Times New Roman" w:cs="Times New Roman"/>
          <w:sz w:val="28"/>
          <w:szCs w:val="28"/>
          <w:shd w:val="clear" w:color="auto" w:fill="FFFFFF"/>
        </w:rPr>
        <w:t>Pshinko</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Myamlin</w:t>
      </w:r>
      <w:proofErr w:type="spellEnd"/>
      <w:r>
        <w:rPr>
          <w:rFonts w:ascii="Times New Roman" w:hAnsi="Times New Roman" w:cs="Times New Roman"/>
          <w:sz w:val="28"/>
          <w:szCs w:val="28"/>
          <w:shd w:val="clear" w:color="auto" w:fill="FFFFFF"/>
        </w:rPr>
        <w:t>, 2012</w:t>
      </w:r>
      <w:r>
        <w:rPr>
          <w:rFonts w:ascii="Times New Roman" w:hAnsi="Times New Roman" w:cs="Times New Roman"/>
          <w:sz w:val="28"/>
          <w:szCs w:val="28"/>
        </w:rPr>
        <w:t>):</w:t>
      </w:r>
    </w:p>
    <w:p w14:paraId="0B3EB4BF" w14:textId="77777777" w:rsidR="00CF00C9" w:rsidRDefault="00CF00C9" w:rsidP="00CF00C9">
      <w:pPr>
        <w:spacing w:line="276" w:lineRule="auto"/>
        <w:ind w:firstLine="709"/>
        <w:jc w:val="both"/>
        <w:rPr>
          <w:rFonts w:ascii="Times New Roman" w:hAnsi="Times New Roman" w:cs="Times New Roman"/>
          <w:sz w:val="28"/>
          <w:szCs w:val="28"/>
        </w:rPr>
      </w:pPr>
    </w:p>
    <w:p w14:paraId="7FA8BB5B" w14:textId="77777777" w:rsidR="00CF00C9" w:rsidRDefault="00CF00C9" w:rsidP="00CF00C9">
      <w:pPr>
        <w:spacing w:line="276" w:lineRule="auto"/>
        <w:jc w:val="right"/>
        <w:rPr>
          <w:rFonts w:ascii="Times New Roman" w:hAnsi="Times New Roman" w:cs="Times New Roman"/>
          <w:sz w:val="28"/>
          <w:szCs w:val="28"/>
        </w:rPr>
      </w:pPr>
      <w:r>
        <w:rPr>
          <w:rFonts w:ascii="Times New Roman" w:hAnsi="Times New Roman" w:cs="Times New Roman"/>
          <w:sz w:val="28"/>
          <w:szCs w:val="28"/>
        </w:rPr>
        <w:t xml:space="preserve">  Km = М / GDP,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14:paraId="07288634" w14:textId="77777777" w:rsidR="00CF00C9" w:rsidRDefault="00CF00C9" w:rsidP="00CF00C9">
      <w:pPr>
        <w:spacing w:line="276" w:lineRule="auto"/>
        <w:jc w:val="both"/>
        <w:rPr>
          <w:rFonts w:ascii="Times New Roman" w:hAnsi="Times New Roman" w:cs="Times New Roman"/>
          <w:sz w:val="28"/>
          <w:szCs w:val="28"/>
        </w:rPr>
      </w:pPr>
      <w:r>
        <w:rPr>
          <w:rFonts w:ascii="Times New Roman" w:hAnsi="Times New Roman" w:cs="Times New Roman"/>
          <w:sz w:val="28"/>
          <w:szCs w:val="28"/>
        </w:rPr>
        <w:t>where: M –   monetary supply aggregate, M2 or M3 (broad money);</w:t>
      </w:r>
    </w:p>
    <w:p w14:paraId="38B11AFC" w14:textId="77777777" w:rsidR="00CF00C9" w:rsidRDefault="00CF00C9" w:rsidP="00CF00C9">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GDP – gross domestic product.</w:t>
      </w:r>
    </w:p>
    <w:p w14:paraId="10916D28" w14:textId="77777777" w:rsidR="00CF00C9" w:rsidRDefault="00CF00C9" w:rsidP="00F47E58">
      <w:pPr>
        <w:spacing w:line="276" w:lineRule="auto"/>
        <w:jc w:val="both"/>
        <w:rPr>
          <w:rFonts w:ascii="Times New Roman" w:hAnsi="Times New Roman" w:cs="Times New Roman"/>
          <w:sz w:val="28"/>
          <w:szCs w:val="28"/>
        </w:rPr>
      </w:pPr>
    </w:p>
    <w:p w14:paraId="0EE3117B" w14:textId="77777777" w:rsidR="00442AD0" w:rsidRDefault="00714119">
      <w:pPr>
        <w:ind w:firstLine="709"/>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0" distR="0" simplePos="0" relativeHeight="4" behindDoc="0" locked="0" layoutInCell="0" allowOverlap="1" wp14:anchorId="012E5D09" wp14:editId="6AB3D36C">
            <wp:simplePos x="0" y="0"/>
            <wp:positionH relativeFrom="column">
              <wp:posOffset>3010535</wp:posOffset>
            </wp:positionH>
            <wp:positionV relativeFrom="paragraph">
              <wp:posOffset>146050</wp:posOffset>
            </wp:positionV>
            <wp:extent cx="3090545" cy="2399030"/>
            <wp:effectExtent l="0" t="0" r="0" b="0"/>
            <wp:wrapSquare wrapText="largest"/>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11"/>
                    <a:stretch>
                      <a:fillRect/>
                    </a:stretch>
                  </pic:blipFill>
                  <pic:spPr bwMode="auto">
                    <a:xfrm>
                      <a:off x="0" y="0"/>
                      <a:ext cx="3090545" cy="2399030"/>
                    </a:xfrm>
                    <a:prstGeom prst="rect">
                      <a:avLst/>
                    </a:prstGeom>
                  </pic:spPr>
                </pic:pic>
              </a:graphicData>
            </a:graphic>
          </wp:anchor>
        </w:drawing>
      </w:r>
      <w:r>
        <w:rPr>
          <w:rFonts w:ascii="Times New Roman" w:hAnsi="Times New Roman" w:cs="Times New Roman"/>
          <w:noProof/>
          <w:sz w:val="20"/>
          <w:szCs w:val="20"/>
        </w:rPr>
        <w:drawing>
          <wp:anchor distT="0" distB="0" distL="0" distR="0" simplePos="0" relativeHeight="7" behindDoc="0" locked="0" layoutInCell="0" allowOverlap="1" wp14:anchorId="0FC2B612" wp14:editId="3BCF9BB1">
            <wp:simplePos x="0" y="0"/>
            <wp:positionH relativeFrom="column">
              <wp:posOffset>-50800</wp:posOffset>
            </wp:positionH>
            <wp:positionV relativeFrom="paragraph">
              <wp:posOffset>140335</wp:posOffset>
            </wp:positionV>
            <wp:extent cx="3061970" cy="2415540"/>
            <wp:effectExtent l="0" t="0" r="0" b="0"/>
            <wp:wrapSquare wrapText="largest"/>
            <wp:docPr id="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pic:cNvPicPr>
                      <a:picLocks noChangeAspect="1" noChangeArrowheads="1"/>
                    </pic:cNvPicPr>
                  </pic:nvPicPr>
                  <pic:blipFill>
                    <a:blip r:embed="rId12"/>
                    <a:srcRect l="-257" t="-337" r="-257" b="-337"/>
                    <a:stretch>
                      <a:fillRect/>
                    </a:stretch>
                  </pic:blipFill>
                  <pic:spPr bwMode="auto">
                    <a:xfrm>
                      <a:off x="0" y="0"/>
                      <a:ext cx="3061970" cy="2415540"/>
                    </a:xfrm>
                    <a:prstGeom prst="rect">
                      <a:avLst/>
                    </a:prstGeom>
                  </pic:spPr>
                </pic:pic>
              </a:graphicData>
            </a:graphic>
          </wp:anchor>
        </w:drawing>
      </w:r>
    </w:p>
    <w:tbl>
      <w:tblPr>
        <w:tblW w:w="9638" w:type="dxa"/>
        <w:tblLayout w:type="fixed"/>
        <w:tblCellMar>
          <w:top w:w="55" w:type="dxa"/>
          <w:left w:w="55" w:type="dxa"/>
          <w:bottom w:w="55" w:type="dxa"/>
          <w:right w:w="55" w:type="dxa"/>
        </w:tblCellMar>
        <w:tblLook w:val="04A0" w:firstRow="1" w:lastRow="0" w:firstColumn="1" w:lastColumn="0" w:noHBand="0" w:noVBand="1"/>
      </w:tblPr>
      <w:tblGrid>
        <w:gridCol w:w="4820"/>
        <w:gridCol w:w="4818"/>
      </w:tblGrid>
      <w:tr w:rsidR="00442AD0" w14:paraId="4C7745CB" w14:textId="77777777">
        <w:tc>
          <w:tcPr>
            <w:tcW w:w="4819" w:type="dxa"/>
          </w:tcPr>
          <w:p w14:paraId="38226497" w14:textId="227D39A5" w:rsidR="00442AD0" w:rsidRDefault="00714119">
            <w:pPr>
              <w:pStyle w:val="FrameContents"/>
              <w:widowControl w:val="0"/>
              <w:spacing w:line="276" w:lineRule="auto"/>
            </w:pPr>
            <w:r>
              <w:rPr>
                <w:rFonts w:ascii="Times New Roman" w:eastAsia="Arial Unicode MS" w:hAnsi="Times New Roman" w:cs="Times New Roman"/>
                <w:color w:val="000000"/>
                <w:sz w:val="28"/>
                <w:szCs w:val="28"/>
                <w:lang w:eastAsia="uk-UA"/>
              </w:rPr>
              <w:t>Figure 2.  Broad money index</w:t>
            </w:r>
            <w:r w:rsidR="000A7257">
              <w:rPr>
                <w:rFonts w:ascii="Times New Roman" w:eastAsia="Arial Unicode MS" w:hAnsi="Times New Roman" w:cs="Times New Roman"/>
                <w:color w:val="000000"/>
                <w:sz w:val="28"/>
                <w:szCs w:val="28"/>
                <w:lang w:eastAsia="uk-UA"/>
              </w:rPr>
              <w:t xml:space="preserve"> </w:t>
            </w:r>
            <w:r>
              <w:rPr>
                <w:rStyle w:val="a8"/>
                <w:rFonts w:ascii="Times New Roman" w:eastAsia="Arial Unicode MS" w:hAnsi="Times New Roman" w:cs="Times New Roman"/>
                <w:i w:val="0"/>
                <w:color w:val="000000"/>
                <w:sz w:val="28"/>
                <w:szCs w:val="28"/>
                <w:lang w:eastAsia="uk-UA"/>
              </w:rPr>
              <w:t>(Ukraine)</w:t>
            </w:r>
          </w:p>
        </w:tc>
        <w:tc>
          <w:tcPr>
            <w:tcW w:w="4818" w:type="dxa"/>
          </w:tcPr>
          <w:p w14:paraId="1A79C495" w14:textId="24A3DDDE" w:rsidR="00442AD0" w:rsidRDefault="00714119">
            <w:pPr>
              <w:pStyle w:val="FrameContents"/>
              <w:widowControl w:val="0"/>
              <w:spacing w:line="276" w:lineRule="auto"/>
              <w:rPr>
                <w:rFonts w:ascii="Times New Roman" w:eastAsia="Arial Unicode MS" w:hAnsi="Times New Roman" w:cs="Times New Roman"/>
                <w:color w:val="000000"/>
                <w:sz w:val="28"/>
                <w:szCs w:val="28"/>
                <w:lang w:eastAsia="uk-UA"/>
              </w:rPr>
            </w:pPr>
            <w:r>
              <w:rPr>
                <w:rFonts w:ascii="Times New Roman" w:eastAsia="Arial Unicode MS" w:hAnsi="Times New Roman" w:cs="Times New Roman"/>
                <w:color w:val="000000"/>
                <w:sz w:val="28"/>
                <w:szCs w:val="28"/>
                <w:lang w:eastAsia="uk-UA"/>
              </w:rPr>
              <w:t xml:space="preserve">Figure. 3. Inflation and construction works price base </w:t>
            </w:r>
            <w:r w:rsidR="00015C87">
              <w:rPr>
                <w:rFonts w:ascii="Times New Roman" w:eastAsia="Arial Unicode MS" w:hAnsi="Times New Roman" w:cs="Times New Roman"/>
                <w:color w:val="000000"/>
                <w:sz w:val="28"/>
                <w:szCs w:val="28"/>
                <w:lang w:eastAsia="uk-UA"/>
              </w:rPr>
              <w:t>indexes (</w:t>
            </w:r>
            <w:r>
              <w:rPr>
                <w:rFonts w:ascii="Times New Roman" w:eastAsia="Arial Unicode MS" w:hAnsi="Times New Roman" w:cs="Times New Roman"/>
                <w:color w:val="000000"/>
                <w:sz w:val="28"/>
                <w:szCs w:val="28"/>
                <w:lang w:eastAsia="uk-UA"/>
              </w:rPr>
              <w:t>Ukraine)</w:t>
            </w:r>
          </w:p>
        </w:tc>
      </w:tr>
    </w:tbl>
    <w:p w14:paraId="16BD6965" w14:textId="77777777" w:rsidR="00442AD0" w:rsidRDefault="00442AD0">
      <w:pPr>
        <w:jc w:val="both"/>
        <w:rPr>
          <w:rFonts w:ascii="Times New Roman" w:hAnsi="Times New Roman" w:cs="Times New Roman"/>
          <w:sz w:val="28"/>
          <w:szCs w:val="28"/>
        </w:rPr>
      </w:pPr>
    </w:p>
    <w:p w14:paraId="0E8F1D6A" w14:textId="77777777" w:rsidR="00442AD0" w:rsidRDefault="00442AD0" w:rsidP="00F47E58">
      <w:pPr>
        <w:spacing w:line="276" w:lineRule="auto"/>
        <w:jc w:val="both"/>
        <w:rPr>
          <w:rFonts w:ascii="Times New Roman" w:hAnsi="Times New Roman" w:cs="Times New Roman"/>
          <w:sz w:val="28"/>
          <w:szCs w:val="28"/>
        </w:rPr>
      </w:pPr>
    </w:p>
    <w:p w14:paraId="23681818" w14:textId="77777777"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Following the formula (1), monetization coefficients have been calculated for Ukrainian and several foreign economies. The results are shown in Table. 2.</w:t>
      </w:r>
    </w:p>
    <w:p w14:paraId="6B71071D" w14:textId="77777777" w:rsidR="00442AD0" w:rsidRDefault="00442AD0">
      <w:pPr>
        <w:ind w:firstLine="709"/>
        <w:jc w:val="both"/>
        <w:rPr>
          <w:rFonts w:ascii="Times New Roman" w:hAnsi="Times New Roman" w:cs="Times New Roman"/>
          <w:sz w:val="28"/>
          <w:szCs w:val="28"/>
        </w:rPr>
      </w:pPr>
    </w:p>
    <w:p w14:paraId="6A2ADECA" w14:textId="77777777" w:rsidR="00442AD0" w:rsidRDefault="00714119">
      <w:pPr>
        <w:ind w:firstLine="709"/>
        <w:jc w:val="right"/>
        <w:rPr>
          <w:rFonts w:ascii="Times New Roman" w:hAnsi="Times New Roman" w:cs="Times New Roman"/>
          <w:sz w:val="28"/>
          <w:szCs w:val="28"/>
        </w:rPr>
      </w:pPr>
      <w:r>
        <w:rPr>
          <w:rFonts w:ascii="Times New Roman" w:hAnsi="Times New Roman" w:cs="Times New Roman"/>
          <w:sz w:val="28"/>
          <w:szCs w:val="28"/>
        </w:rPr>
        <w:t>Table 2.</w:t>
      </w:r>
    </w:p>
    <w:p w14:paraId="09B1E3F2" w14:textId="77777777" w:rsidR="00442AD0" w:rsidRDefault="00714119">
      <w:pPr>
        <w:ind w:firstLine="709"/>
        <w:jc w:val="center"/>
        <w:rPr>
          <w:rFonts w:ascii="Times New Roman" w:hAnsi="Times New Roman" w:cs="Times New Roman"/>
          <w:sz w:val="28"/>
          <w:szCs w:val="28"/>
        </w:rPr>
      </w:pPr>
      <w:r>
        <w:rPr>
          <w:rFonts w:ascii="Times New Roman" w:hAnsi="Times New Roman" w:cs="Times New Roman"/>
          <w:sz w:val="28"/>
          <w:szCs w:val="28"/>
        </w:rPr>
        <w:t>Global monetization coefficients, 2020</w:t>
      </w:r>
    </w:p>
    <w:tbl>
      <w:tblPr>
        <w:tblW w:w="9636" w:type="dxa"/>
        <w:tblLayout w:type="fixed"/>
        <w:tblCellMar>
          <w:top w:w="55" w:type="dxa"/>
          <w:left w:w="55" w:type="dxa"/>
          <w:bottom w:w="55" w:type="dxa"/>
          <w:right w:w="55" w:type="dxa"/>
        </w:tblCellMar>
        <w:tblLook w:val="04A0" w:firstRow="1" w:lastRow="0" w:firstColumn="1" w:lastColumn="0" w:noHBand="0" w:noVBand="1"/>
      </w:tblPr>
      <w:tblGrid>
        <w:gridCol w:w="1377"/>
        <w:gridCol w:w="1377"/>
        <w:gridCol w:w="1376"/>
        <w:gridCol w:w="1377"/>
        <w:gridCol w:w="1376"/>
        <w:gridCol w:w="1377"/>
        <w:gridCol w:w="1376"/>
      </w:tblGrid>
      <w:tr w:rsidR="00442AD0" w14:paraId="05253E97" w14:textId="77777777">
        <w:tc>
          <w:tcPr>
            <w:tcW w:w="1376" w:type="dxa"/>
            <w:tcBorders>
              <w:top w:val="single" w:sz="2" w:space="0" w:color="000000"/>
              <w:left w:val="single" w:sz="2" w:space="0" w:color="000000"/>
              <w:bottom w:val="single" w:sz="2" w:space="0" w:color="000000"/>
            </w:tcBorders>
          </w:tcPr>
          <w:p w14:paraId="0882785C"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Ukraine</w:t>
            </w:r>
          </w:p>
        </w:tc>
        <w:tc>
          <w:tcPr>
            <w:tcW w:w="1377" w:type="dxa"/>
            <w:tcBorders>
              <w:top w:val="single" w:sz="2" w:space="0" w:color="000000"/>
              <w:left w:val="single" w:sz="2" w:space="0" w:color="000000"/>
              <w:bottom w:val="single" w:sz="2" w:space="0" w:color="000000"/>
            </w:tcBorders>
          </w:tcPr>
          <w:p w14:paraId="105012CE"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Russia</w:t>
            </w:r>
          </w:p>
        </w:tc>
        <w:tc>
          <w:tcPr>
            <w:tcW w:w="1376" w:type="dxa"/>
            <w:tcBorders>
              <w:top w:val="single" w:sz="2" w:space="0" w:color="000000"/>
              <w:left w:val="single" w:sz="2" w:space="0" w:color="000000"/>
              <w:bottom w:val="single" w:sz="2" w:space="0" w:color="000000"/>
            </w:tcBorders>
          </w:tcPr>
          <w:p w14:paraId="6AEE10D8"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Japan</w:t>
            </w:r>
          </w:p>
        </w:tc>
        <w:tc>
          <w:tcPr>
            <w:tcW w:w="1377" w:type="dxa"/>
            <w:tcBorders>
              <w:top w:val="single" w:sz="2" w:space="0" w:color="000000"/>
              <w:left w:val="single" w:sz="2" w:space="0" w:color="000000"/>
              <w:bottom w:val="single" w:sz="2" w:space="0" w:color="000000"/>
            </w:tcBorders>
          </w:tcPr>
          <w:p w14:paraId="4A092E85"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India</w:t>
            </w:r>
          </w:p>
        </w:tc>
        <w:tc>
          <w:tcPr>
            <w:tcW w:w="1376" w:type="dxa"/>
            <w:tcBorders>
              <w:top w:val="single" w:sz="2" w:space="0" w:color="000000"/>
              <w:left w:val="single" w:sz="2" w:space="0" w:color="000000"/>
              <w:bottom w:val="single" w:sz="2" w:space="0" w:color="000000"/>
            </w:tcBorders>
          </w:tcPr>
          <w:p w14:paraId="5D4A8E7D"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China</w:t>
            </w:r>
          </w:p>
        </w:tc>
        <w:tc>
          <w:tcPr>
            <w:tcW w:w="1377" w:type="dxa"/>
            <w:tcBorders>
              <w:top w:val="single" w:sz="2" w:space="0" w:color="000000"/>
              <w:left w:val="single" w:sz="2" w:space="0" w:color="000000"/>
              <w:bottom w:val="single" w:sz="2" w:space="0" w:color="000000"/>
            </w:tcBorders>
          </w:tcPr>
          <w:p w14:paraId="10493A03"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USA</w:t>
            </w:r>
          </w:p>
        </w:tc>
        <w:tc>
          <w:tcPr>
            <w:tcW w:w="1376" w:type="dxa"/>
            <w:tcBorders>
              <w:top w:val="single" w:sz="2" w:space="0" w:color="000000"/>
              <w:left w:val="single" w:sz="2" w:space="0" w:color="000000"/>
              <w:bottom w:val="single" w:sz="2" w:space="0" w:color="000000"/>
              <w:right w:val="single" w:sz="2" w:space="0" w:color="000000"/>
            </w:tcBorders>
          </w:tcPr>
          <w:p w14:paraId="64434E71"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Brazil</w:t>
            </w:r>
          </w:p>
        </w:tc>
      </w:tr>
      <w:tr w:rsidR="00442AD0" w14:paraId="1A99AC7E" w14:textId="77777777">
        <w:tc>
          <w:tcPr>
            <w:tcW w:w="1376" w:type="dxa"/>
            <w:tcBorders>
              <w:left w:val="single" w:sz="2" w:space="0" w:color="000000"/>
              <w:bottom w:val="single" w:sz="2" w:space="0" w:color="000000"/>
            </w:tcBorders>
          </w:tcPr>
          <w:p w14:paraId="00DECBCD"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44%</w:t>
            </w:r>
          </w:p>
        </w:tc>
        <w:tc>
          <w:tcPr>
            <w:tcW w:w="1377" w:type="dxa"/>
            <w:tcBorders>
              <w:left w:val="single" w:sz="2" w:space="0" w:color="000000"/>
              <w:bottom w:val="single" w:sz="2" w:space="0" w:color="000000"/>
            </w:tcBorders>
          </w:tcPr>
          <w:p w14:paraId="7E3D19A3"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60%</w:t>
            </w:r>
          </w:p>
        </w:tc>
        <w:tc>
          <w:tcPr>
            <w:tcW w:w="1376" w:type="dxa"/>
            <w:tcBorders>
              <w:left w:val="single" w:sz="2" w:space="0" w:color="000000"/>
              <w:bottom w:val="single" w:sz="2" w:space="0" w:color="000000"/>
            </w:tcBorders>
          </w:tcPr>
          <w:p w14:paraId="090D7BD4"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258%</w:t>
            </w:r>
          </w:p>
        </w:tc>
        <w:tc>
          <w:tcPr>
            <w:tcW w:w="1377" w:type="dxa"/>
            <w:tcBorders>
              <w:left w:val="single" w:sz="2" w:space="0" w:color="000000"/>
              <w:bottom w:val="single" w:sz="2" w:space="0" w:color="000000"/>
            </w:tcBorders>
          </w:tcPr>
          <w:p w14:paraId="65542B89"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73%</w:t>
            </w:r>
          </w:p>
        </w:tc>
        <w:tc>
          <w:tcPr>
            <w:tcW w:w="1376" w:type="dxa"/>
            <w:tcBorders>
              <w:left w:val="single" w:sz="2" w:space="0" w:color="000000"/>
              <w:bottom w:val="single" w:sz="2" w:space="0" w:color="000000"/>
            </w:tcBorders>
          </w:tcPr>
          <w:p w14:paraId="69171776"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205%</w:t>
            </w:r>
          </w:p>
        </w:tc>
        <w:tc>
          <w:tcPr>
            <w:tcW w:w="1377" w:type="dxa"/>
            <w:tcBorders>
              <w:left w:val="single" w:sz="2" w:space="0" w:color="000000"/>
              <w:bottom w:val="single" w:sz="2" w:space="0" w:color="000000"/>
            </w:tcBorders>
          </w:tcPr>
          <w:p w14:paraId="35EBEAE6"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95%</w:t>
            </w:r>
          </w:p>
        </w:tc>
        <w:tc>
          <w:tcPr>
            <w:tcW w:w="1376" w:type="dxa"/>
            <w:tcBorders>
              <w:left w:val="single" w:sz="2" w:space="0" w:color="000000"/>
              <w:bottom w:val="single" w:sz="2" w:space="0" w:color="000000"/>
              <w:right w:val="single" w:sz="2" w:space="0" w:color="000000"/>
            </w:tcBorders>
          </w:tcPr>
          <w:p w14:paraId="369F5C03"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96%</w:t>
            </w:r>
          </w:p>
        </w:tc>
      </w:tr>
    </w:tbl>
    <w:p w14:paraId="147B299B" w14:textId="77777777" w:rsidR="00442AD0" w:rsidRDefault="00442AD0">
      <w:pPr>
        <w:ind w:firstLine="709"/>
        <w:jc w:val="both"/>
        <w:rPr>
          <w:rFonts w:ascii="Times New Roman" w:hAnsi="Times New Roman" w:cs="Times New Roman"/>
          <w:sz w:val="28"/>
          <w:szCs w:val="28"/>
        </w:rPr>
      </w:pPr>
    </w:p>
    <w:p w14:paraId="53F7CBE4" w14:textId="5777EAAC" w:rsidR="00442AD0" w:rsidRDefault="00714119" w:rsidP="00F47E58">
      <w:pPr>
        <w:pStyle w:val="af0"/>
        <w:ind w:firstLine="709"/>
        <w:jc w:val="both"/>
        <w:rPr>
          <w:rFonts w:ascii="Times New Roman" w:hAnsi="Times New Roman" w:cs="Times New Roman"/>
          <w:color w:val="0E101A"/>
          <w:sz w:val="28"/>
          <w:szCs w:val="28"/>
        </w:rPr>
      </w:pPr>
      <w:r>
        <w:rPr>
          <w:rFonts w:ascii="Times New Roman" w:hAnsi="Times New Roman" w:cs="Times New Roman"/>
          <w:color w:val="0E101A"/>
          <w:sz w:val="28"/>
          <w:szCs w:val="28"/>
        </w:rPr>
        <w:t>It is worth mentioning, that the GDP boosting by expanding the money supply is a task far from having a simple solution for a particular economy. It is obvious that the monetization of the Ukrainian economy is insufficient for long-term and productive economic growth</w:t>
      </w:r>
      <w:r w:rsidR="00773A75">
        <w:rPr>
          <w:rFonts w:ascii="Times New Roman" w:hAnsi="Times New Roman" w:cs="Times New Roman"/>
          <w:color w:val="0E101A"/>
          <w:sz w:val="28"/>
          <w:szCs w:val="28"/>
        </w:rPr>
        <w:t>, e</w:t>
      </w:r>
      <w:r>
        <w:rPr>
          <w:rFonts w:ascii="Times New Roman" w:hAnsi="Times New Roman" w:cs="Times New Roman"/>
          <w:color w:val="0E101A"/>
          <w:sz w:val="28"/>
          <w:szCs w:val="28"/>
        </w:rPr>
        <w:t>ven more, for the increasing complexity of the domestic economy.</w:t>
      </w:r>
      <w:r w:rsidR="00773A75">
        <w:rPr>
          <w:rFonts w:ascii="Times New Roman" w:hAnsi="Times New Roman" w:cs="Times New Roman"/>
          <w:color w:val="0E101A"/>
          <w:sz w:val="28"/>
          <w:szCs w:val="28"/>
        </w:rPr>
        <w:t xml:space="preserve"> </w:t>
      </w:r>
      <w:r>
        <w:rPr>
          <w:rFonts w:ascii="Times New Roman" w:hAnsi="Times New Roman" w:cs="Times New Roman"/>
          <w:color w:val="0E101A"/>
          <w:sz w:val="28"/>
          <w:szCs w:val="28"/>
        </w:rPr>
        <w:t>But the question</w:t>
      </w:r>
      <w:r w:rsidR="001A45AF">
        <w:rPr>
          <w:rFonts w:ascii="Times New Roman" w:hAnsi="Times New Roman" w:cs="Times New Roman"/>
          <w:color w:val="0E101A"/>
          <w:sz w:val="28"/>
          <w:szCs w:val="28"/>
        </w:rPr>
        <w:t xml:space="preserve"> remains</w:t>
      </w:r>
      <w:r w:rsidR="00773A75">
        <w:rPr>
          <w:rFonts w:ascii="Times New Roman" w:hAnsi="Times New Roman" w:cs="Times New Roman"/>
          <w:color w:val="0E101A"/>
          <w:sz w:val="28"/>
          <w:szCs w:val="28"/>
        </w:rPr>
        <w:t>:</w:t>
      </w:r>
      <w:r>
        <w:rPr>
          <w:rFonts w:ascii="Times New Roman" w:hAnsi="Times New Roman" w:cs="Times New Roman"/>
          <w:color w:val="0E101A"/>
          <w:sz w:val="28"/>
          <w:szCs w:val="28"/>
        </w:rPr>
        <w:t xml:space="preserve"> </w:t>
      </w:r>
      <w:r w:rsidR="001A45AF">
        <w:rPr>
          <w:rFonts w:ascii="Times New Roman" w:hAnsi="Times New Roman" w:cs="Times New Roman"/>
          <w:color w:val="0E101A"/>
          <w:sz w:val="28"/>
          <w:szCs w:val="28"/>
        </w:rPr>
        <w:t>W</w:t>
      </w:r>
      <w:r>
        <w:rPr>
          <w:rFonts w:ascii="Times New Roman" w:hAnsi="Times New Roman" w:cs="Times New Roman"/>
          <w:color w:val="0E101A"/>
          <w:sz w:val="28"/>
          <w:szCs w:val="28"/>
        </w:rPr>
        <w:t>hat coefficient might be considered sufficient</w:t>
      </w:r>
      <w:r w:rsidR="001A45AF">
        <w:rPr>
          <w:rFonts w:ascii="Times New Roman" w:hAnsi="Times New Roman" w:cs="Times New Roman"/>
          <w:color w:val="0E101A"/>
          <w:sz w:val="28"/>
          <w:szCs w:val="28"/>
        </w:rPr>
        <w:t>?</w:t>
      </w:r>
    </w:p>
    <w:p w14:paraId="6455C696" w14:textId="32D4CFC6" w:rsidR="00442AD0" w:rsidRDefault="00714119" w:rsidP="00F47E58">
      <w:pPr>
        <w:pStyle w:val="af0"/>
        <w:ind w:firstLine="709"/>
        <w:jc w:val="both"/>
        <w:rPr>
          <w:rFonts w:ascii="Times New Roman" w:hAnsi="Times New Roman" w:cs="Times New Roman"/>
          <w:color w:val="0E101A"/>
          <w:sz w:val="28"/>
          <w:szCs w:val="28"/>
        </w:rPr>
      </w:pPr>
      <w:r>
        <w:rPr>
          <w:rFonts w:ascii="Times New Roman" w:hAnsi="Times New Roman" w:cs="Times New Roman"/>
          <w:color w:val="0E101A"/>
          <w:sz w:val="28"/>
          <w:szCs w:val="28"/>
        </w:rPr>
        <w:t xml:space="preserve">Take Japan and China, for example, where monetization coefficients are 258% and 205%, respectively. Both of these countries do not have a liquidity crisis. However, it is only </w:t>
      </w:r>
      <w:r w:rsidR="006D1761">
        <w:rPr>
          <w:rFonts w:ascii="Times New Roman" w:hAnsi="Times New Roman" w:cs="Times New Roman"/>
          <w:color w:val="0E101A"/>
          <w:sz w:val="28"/>
          <w:szCs w:val="28"/>
        </w:rPr>
        <w:t xml:space="preserve">in </w:t>
      </w:r>
      <w:r>
        <w:rPr>
          <w:rFonts w:ascii="Times New Roman" w:hAnsi="Times New Roman" w:cs="Times New Roman"/>
          <w:color w:val="0E101A"/>
          <w:sz w:val="28"/>
          <w:szCs w:val="28"/>
        </w:rPr>
        <w:t xml:space="preserve">China where the cash flow turns the “millstones” of economic growth. In Japan, the problems, </w:t>
      </w:r>
      <w:r w:rsidR="006D1761">
        <w:rPr>
          <w:rFonts w:ascii="Times New Roman" w:hAnsi="Times New Roman" w:cs="Times New Roman"/>
          <w:color w:val="0E101A"/>
          <w:sz w:val="28"/>
          <w:szCs w:val="28"/>
        </w:rPr>
        <w:t xml:space="preserve">that </w:t>
      </w:r>
      <w:r>
        <w:rPr>
          <w:rFonts w:ascii="Times New Roman" w:hAnsi="Times New Roman" w:cs="Times New Roman"/>
          <w:color w:val="0E101A"/>
          <w:sz w:val="28"/>
          <w:szCs w:val="28"/>
        </w:rPr>
        <w:t xml:space="preserve">piled up in </w:t>
      </w:r>
      <w:r w:rsidR="006D1761">
        <w:rPr>
          <w:rFonts w:ascii="Times New Roman" w:hAnsi="Times New Roman" w:cs="Times New Roman"/>
          <w:color w:val="0E101A"/>
          <w:sz w:val="28"/>
          <w:szCs w:val="28"/>
        </w:rPr>
        <w:t xml:space="preserve">the </w:t>
      </w:r>
      <w:r>
        <w:rPr>
          <w:rFonts w:ascii="Times New Roman" w:hAnsi="Times New Roman" w:cs="Times New Roman"/>
          <w:color w:val="0E101A"/>
          <w:sz w:val="28"/>
          <w:szCs w:val="28"/>
        </w:rPr>
        <w:t xml:space="preserve">economy and finance during the “lost decade” </w:t>
      </w:r>
      <w:r w:rsidR="00CF00C9">
        <w:rPr>
          <w:rFonts w:ascii="Times New Roman" w:hAnsi="Times New Roman" w:cs="Times New Roman"/>
          <w:color w:val="0E101A"/>
          <w:sz w:val="28"/>
          <w:szCs w:val="28"/>
        </w:rPr>
        <w:t>(</w:t>
      </w:r>
      <w:r w:rsidR="00CF00C9">
        <w:rPr>
          <w:rFonts w:ascii="Times New Roman" w:hAnsi="Times New Roman" w:cs="Times New Roman"/>
          <w:sz w:val="28"/>
          <w:szCs w:val="28"/>
          <w:shd w:val="clear" w:color="auto" w:fill="FFFFFF"/>
        </w:rPr>
        <w:t>Fumio Hayashi, 2001</w:t>
      </w:r>
      <w:r w:rsidR="00CF00C9">
        <w:rPr>
          <w:rFonts w:ascii="Times New Roman" w:hAnsi="Times New Roman" w:cs="Times New Roman"/>
          <w:color w:val="0E101A"/>
          <w:sz w:val="28"/>
          <w:szCs w:val="28"/>
        </w:rPr>
        <w:t>)</w:t>
      </w:r>
      <w:r>
        <w:rPr>
          <w:rFonts w:ascii="Times New Roman" w:hAnsi="Times New Roman" w:cs="Times New Roman"/>
          <w:color w:val="0E101A"/>
          <w:sz w:val="28"/>
          <w:szCs w:val="28"/>
        </w:rPr>
        <w:t xml:space="preserve">, inhibit now investment activity even in presence of a significant increase in liquidity. China, whose investment channels are more straightforward than its neighbor's, is showing more progress. However, China also runs the risk of facing similar difficulties in the future due to accumulating “bad debts” </w:t>
      </w:r>
      <w:r w:rsidR="00BB7608">
        <w:rPr>
          <w:rFonts w:ascii="Times New Roman" w:hAnsi="Times New Roman" w:cs="Times New Roman"/>
          <w:color w:val="0E101A"/>
          <w:sz w:val="28"/>
          <w:szCs w:val="28"/>
        </w:rPr>
        <w:t>(</w:t>
      </w:r>
      <w:r w:rsidR="00BB7608">
        <w:rPr>
          <w:rFonts w:ascii="Times New Roman" w:hAnsi="Times New Roman" w:cs="Times New Roman"/>
          <w:sz w:val="28"/>
          <w:szCs w:val="28"/>
          <w:shd w:val="clear" w:color="auto" w:fill="FFFFFF"/>
        </w:rPr>
        <w:t>China's potential loss from NPLs estimated at $1 trillion, 2016</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w:t>
      </w:r>
    </w:p>
    <w:p w14:paraId="49B063C0" w14:textId="1B356547" w:rsidR="00442AD0" w:rsidRDefault="00714119" w:rsidP="00F47E58">
      <w:pPr>
        <w:pStyle w:val="af0"/>
        <w:ind w:firstLine="709"/>
        <w:jc w:val="both"/>
        <w:rPr>
          <w:rFonts w:ascii="Times New Roman" w:hAnsi="Times New Roman" w:cs="Times New Roman"/>
          <w:color w:val="0E101A"/>
          <w:sz w:val="28"/>
          <w:szCs w:val="28"/>
        </w:rPr>
      </w:pPr>
      <w:r>
        <w:rPr>
          <w:rFonts w:ascii="Times New Roman" w:hAnsi="Times New Roman" w:cs="Times New Roman"/>
          <w:color w:val="0E101A"/>
          <w:sz w:val="28"/>
          <w:szCs w:val="28"/>
        </w:rPr>
        <w:lastRenderedPageBreak/>
        <w:t xml:space="preserve">To what extent should monetary aggregates be built up without excessive inflation? </w:t>
      </w:r>
      <w:proofErr w:type="spellStart"/>
      <w:proofErr w:type="gramStart"/>
      <w:r>
        <w:rPr>
          <w:rFonts w:ascii="Times New Roman" w:hAnsi="Times New Roman" w:cs="Times New Roman"/>
          <w:color w:val="0E101A"/>
          <w:sz w:val="28"/>
          <w:szCs w:val="28"/>
        </w:rPr>
        <w:t>F.Kartaev</w:t>
      </w:r>
      <w:proofErr w:type="spellEnd"/>
      <w:proofErr w:type="gramEnd"/>
      <w:r>
        <w:rPr>
          <w:rFonts w:ascii="Times New Roman" w:hAnsi="Times New Roman" w:cs="Times New Roman"/>
          <w:color w:val="0E101A"/>
          <w:sz w:val="28"/>
          <w:szCs w:val="28"/>
        </w:rPr>
        <w:t xml:space="preserve">, says that the level of harmless inflation can be "a little more than 10% for developing economies" </w:t>
      </w:r>
      <w:r w:rsidR="00BB7608">
        <w:rPr>
          <w:rFonts w:ascii="Times New Roman" w:hAnsi="Times New Roman" w:cs="Times New Roman"/>
          <w:color w:val="0E101A"/>
          <w:sz w:val="28"/>
          <w:szCs w:val="28"/>
        </w:rPr>
        <w:t>(</w:t>
      </w:r>
      <w:proofErr w:type="spellStart"/>
      <w:r w:rsidR="00BB7608">
        <w:rPr>
          <w:rFonts w:ascii="Times New Roman" w:hAnsi="Times New Roman" w:cs="Times New Roman"/>
          <w:sz w:val="28"/>
          <w:szCs w:val="28"/>
          <w:shd w:val="clear" w:color="auto" w:fill="FFFFFF"/>
        </w:rPr>
        <w:t>Kartaev</w:t>
      </w:r>
      <w:proofErr w:type="spellEnd"/>
      <w:r w:rsidR="00BB7608">
        <w:rPr>
          <w:rFonts w:ascii="Times New Roman" w:hAnsi="Times New Roman" w:cs="Times New Roman"/>
          <w:sz w:val="28"/>
          <w:szCs w:val="28"/>
          <w:shd w:val="clear" w:color="auto" w:fill="FFFFFF"/>
        </w:rPr>
        <w:t>, 2019</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 xml:space="preserve">. Then, he insists that inflation must be kept substantially lower even for such countries. The author favors inflation targeting over money supply expansion, insisting that the long-term impact on GDP growth from the first is more robust than from the second. Thus, the opinions of </w:t>
      </w:r>
      <w:proofErr w:type="spellStart"/>
      <w:proofErr w:type="gramStart"/>
      <w:r>
        <w:rPr>
          <w:rFonts w:ascii="Times New Roman" w:hAnsi="Times New Roman" w:cs="Times New Roman"/>
          <w:color w:val="0E101A"/>
          <w:sz w:val="28"/>
          <w:szCs w:val="28"/>
        </w:rPr>
        <w:t>F.Kartaev</w:t>
      </w:r>
      <w:proofErr w:type="spellEnd"/>
      <w:proofErr w:type="gramEnd"/>
      <w:r>
        <w:rPr>
          <w:rFonts w:ascii="Times New Roman" w:hAnsi="Times New Roman" w:cs="Times New Roman"/>
          <w:color w:val="0E101A"/>
          <w:sz w:val="28"/>
          <w:szCs w:val="28"/>
        </w:rPr>
        <w:t xml:space="preserve"> and </w:t>
      </w:r>
      <w:proofErr w:type="spellStart"/>
      <w:r>
        <w:rPr>
          <w:rFonts w:ascii="Times New Roman" w:hAnsi="Times New Roman" w:cs="Times New Roman"/>
          <w:color w:val="0E101A"/>
          <w:sz w:val="28"/>
          <w:szCs w:val="28"/>
        </w:rPr>
        <w:t>S.Blinov</w:t>
      </w:r>
      <w:proofErr w:type="spellEnd"/>
      <w:r>
        <w:rPr>
          <w:rFonts w:ascii="Times New Roman" w:hAnsi="Times New Roman" w:cs="Times New Roman"/>
          <w:color w:val="0E101A"/>
          <w:sz w:val="28"/>
          <w:szCs w:val="28"/>
        </w:rPr>
        <w:t xml:space="preserve"> are opposed.</w:t>
      </w:r>
    </w:p>
    <w:p w14:paraId="0EEF8EE0" w14:textId="76DB90B4" w:rsidR="00442AD0" w:rsidRDefault="00714119" w:rsidP="00F47E58">
      <w:pPr>
        <w:pStyle w:val="af0"/>
        <w:ind w:firstLine="709"/>
        <w:jc w:val="both"/>
        <w:rPr>
          <w:rFonts w:ascii="Times New Roman" w:hAnsi="Times New Roman" w:cs="Times New Roman"/>
          <w:color w:val="0E101A"/>
          <w:sz w:val="28"/>
          <w:szCs w:val="28"/>
        </w:rPr>
      </w:pPr>
      <w:r>
        <w:rPr>
          <w:rFonts w:ascii="Times New Roman" w:hAnsi="Times New Roman" w:cs="Times New Roman"/>
          <w:color w:val="0E101A"/>
          <w:sz w:val="28"/>
          <w:szCs w:val="28"/>
        </w:rPr>
        <w:t xml:space="preserve">Some authors study the differences in monetary policy and its impact on inflation and GDP growth for countries with distinct economic or socio-cultural conditions. </w:t>
      </w:r>
      <w:proofErr w:type="spellStart"/>
      <w:proofErr w:type="gramStart"/>
      <w:r>
        <w:rPr>
          <w:rFonts w:ascii="Times New Roman" w:hAnsi="Times New Roman" w:cs="Times New Roman"/>
          <w:color w:val="0E101A"/>
          <w:sz w:val="28"/>
          <w:szCs w:val="28"/>
        </w:rPr>
        <w:t>F.Kartaev</w:t>
      </w:r>
      <w:proofErr w:type="spellEnd"/>
      <w:proofErr w:type="gramEnd"/>
      <w:r>
        <w:rPr>
          <w:rFonts w:ascii="Times New Roman" w:hAnsi="Times New Roman" w:cs="Times New Roman"/>
          <w:color w:val="0E101A"/>
          <w:sz w:val="28"/>
          <w:szCs w:val="28"/>
        </w:rPr>
        <w:t xml:space="preserve"> explores the countries with different ethnolinguistic diversity </w:t>
      </w:r>
      <w:r w:rsidR="00BB7608">
        <w:rPr>
          <w:rFonts w:ascii="Times New Roman" w:hAnsi="Times New Roman" w:cs="Times New Roman"/>
          <w:color w:val="0E101A"/>
          <w:sz w:val="28"/>
          <w:szCs w:val="28"/>
        </w:rPr>
        <w:t>(</w:t>
      </w:r>
      <w:proofErr w:type="spellStart"/>
      <w:r w:rsidR="00BB7608">
        <w:rPr>
          <w:rFonts w:ascii="Times New Roman" w:hAnsi="Times New Roman" w:cs="Times New Roman"/>
          <w:sz w:val="28"/>
          <w:szCs w:val="28"/>
          <w:shd w:val="clear" w:color="auto" w:fill="FFFFFF"/>
        </w:rPr>
        <w:t>Kartaev</w:t>
      </w:r>
      <w:proofErr w:type="spellEnd"/>
      <w:r w:rsidR="00BB7608">
        <w:rPr>
          <w:rFonts w:ascii="Times New Roman" w:hAnsi="Times New Roman" w:cs="Times New Roman"/>
          <w:sz w:val="28"/>
          <w:szCs w:val="28"/>
          <w:shd w:val="clear" w:color="auto" w:fill="FFFFFF"/>
        </w:rPr>
        <w:t>, 2018</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 xml:space="preserve">. </w:t>
      </w:r>
      <w:proofErr w:type="spellStart"/>
      <w:proofErr w:type="gramStart"/>
      <w:r w:rsidR="00BB7608">
        <w:rPr>
          <w:rFonts w:ascii="Times New Roman" w:hAnsi="Times New Roman" w:cs="Times New Roman"/>
          <w:color w:val="0E101A"/>
          <w:sz w:val="28"/>
          <w:szCs w:val="28"/>
        </w:rPr>
        <w:t>O.Klochkova</w:t>
      </w:r>
      <w:proofErr w:type="spellEnd"/>
      <w:proofErr w:type="gramEnd"/>
      <w:r>
        <w:rPr>
          <w:rFonts w:ascii="Times New Roman" w:hAnsi="Times New Roman" w:cs="Times New Roman"/>
          <w:color w:val="0E101A"/>
          <w:sz w:val="28"/>
          <w:szCs w:val="28"/>
        </w:rPr>
        <w:t xml:space="preserve"> analyzes inflation in countries with different levels of economic freedom </w:t>
      </w:r>
      <w:r w:rsidR="00BB7608">
        <w:rPr>
          <w:rFonts w:ascii="Times New Roman" w:hAnsi="Times New Roman" w:cs="Times New Roman"/>
          <w:color w:val="0E101A"/>
          <w:sz w:val="28"/>
          <w:szCs w:val="28"/>
        </w:rPr>
        <w:t>(</w:t>
      </w:r>
      <w:proofErr w:type="spellStart"/>
      <w:r w:rsidR="00BB7608">
        <w:rPr>
          <w:rFonts w:ascii="Times New Roman" w:hAnsi="Times New Roman" w:cs="Times New Roman"/>
          <w:sz w:val="28"/>
          <w:szCs w:val="28"/>
        </w:rPr>
        <w:t>Klochkova</w:t>
      </w:r>
      <w:proofErr w:type="spellEnd"/>
      <w:r w:rsidR="00BB7608">
        <w:rPr>
          <w:rFonts w:ascii="Times New Roman" w:hAnsi="Times New Roman" w:cs="Times New Roman"/>
          <w:sz w:val="28"/>
          <w:szCs w:val="28"/>
        </w:rPr>
        <w:t>, 2017</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 However, these studies do not provide any universal conclusions.</w:t>
      </w:r>
    </w:p>
    <w:p w14:paraId="1748DDDA" w14:textId="577D3D4A" w:rsidR="00442AD0" w:rsidRDefault="00714119" w:rsidP="00F47E58">
      <w:pPr>
        <w:pStyle w:val="af0"/>
        <w:spacing w:after="0"/>
        <w:jc w:val="both"/>
      </w:pPr>
      <w:r>
        <w:rPr>
          <w:rFonts w:ascii="Times New Roman" w:hAnsi="Times New Roman" w:cs="Times New Roman"/>
          <w:color w:val="0E101A"/>
          <w:sz w:val="28"/>
          <w:szCs w:val="28"/>
        </w:rPr>
        <w:tab/>
        <w:t xml:space="preserve">Thus, the following points were taken as a theoretical basis for the study: firstly, the hypothesis concerning the positive impact of the expansion of the real money supply and monetization of the economy on the growth of investment and, as a result, GDP growth. Secondly, the alleged ambiguity of the criteria and approaches for stimulating GDP growth by “calming down” exchange rates and inflation. Thirdly, there is a wide variety of economies of individual countries, which highly differ in sectoral structure, trade balance, debt burden, global cooperation, etc. This diversity, however, is desirable to be reduced to certain patterns. Taking into account the foregoing facts and hypotheses, a statistical analysis of the World Bank data time series was conducted </w:t>
      </w:r>
      <w:r w:rsidR="00BB7608">
        <w:rPr>
          <w:rFonts w:ascii="Times New Roman" w:hAnsi="Times New Roman" w:cs="Times New Roman"/>
          <w:color w:val="0E101A"/>
          <w:sz w:val="28"/>
          <w:szCs w:val="28"/>
        </w:rPr>
        <w:t>(World Bank, 2020)</w:t>
      </w:r>
      <w:r>
        <w:rPr>
          <w:rFonts w:ascii="Times New Roman" w:hAnsi="Times New Roman" w:cs="Times New Roman"/>
          <w:color w:val="0E101A"/>
          <w:sz w:val="28"/>
          <w:szCs w:val="28"/>
        </w:rPr>
        <w:t>. Its results are shown and explained below.</w:t>
      </w:r>
    </w:p>
    <w:p w14:paraId="6173A9B1" w14:textId="77777777" w:rsidR="00442AD0" w:rsidRDefault="00442AD0">
      <w:pPr>
        <w:ind w:firstLine="709"/>
        <w:jc w:val="both"/>
        <w:rPr>
          <w:rFonts w:ascii="Times New Roman" w:hAnsi="Times New Roman" w:cs="Times New Roman"/>
          <w:color w:val="0E101A"/>
          <w:sz w:val="28"/>
          <w:szCs w:val="28"/>
        </w:rPr>
      </w:pPr>
    </w:p>
    <w:p w14:paraId="2D41DFAA" w14:textId="77777777" w:rsidR="00442AD0" w:rsidRDefault="00442AD0">
      <w:pPr>
        <w:jc w:val="both"/>
        <w:rPr>
          <w:rFonts w:ascii="Times New Roman" w:hAnsi="Times New Roman" w:cs="Times New Roman"/>
          <w:sz w:val="28"/>
          <w:szCs w:val="28"/>
        </w:rPr>
      </w:pPr>
    </w:p>
    <w:p w14:paraId="532E59F8" w14:textId="695C6D5F" w:rsidR="00442AD0" w:rsidRDefault="00376EB3" w:rsidP="00376EB3">
      <w:pPr>
        <w:pStyle w:val="2"/>
        <w:tabs>
          <w:tab w:val="clear" w:pos="1736"/>
          <w:tab w:val="clear" w:pos="2019"/>
          <w:tab w:val="left" w:pos="709"/>
        </w:tabs>
        <w:ind w:firstLine="0"/>
      </w:pPr>
      <w:r>
        <w:tab/>
      </w:r>
      <w:r w:rsidR="000A7257">
        <w:t>Relationship analysis</w:t>
      </w:r>
      <w:r w:rsidR="003A19F9">
        <w:t xml:space="preserve">: </w:t>
      </w:r>
      <w:r w:rsidR="00714119">
        <w:t xml:space="preserve">the real money supply and investment </w:t>
      </w:r>
    </w:p>
    <w:p w14:paraId="343E576F" w14:textId="4080A61F" w:rsidR="00442AD0" w:rsidRDefault="00714119" w:rsidP="00F47E58">
      <w:pPr>
        <w:spacing w:line="276" w:lineRule="auto"/>
        <w:jc w:val="both"/>
      </w:pPr>
      <w:r>
        <w:rPr>
          <w:rFonts w:ascii="Times New Roman" w:hAnsi="Times New Roman" w:cs="Times New Roman"/>
          <w:color w:val="0E101A"/>
          <w:sz w:val="28"/>
          <w:szCs w:val="28"/>
        </w:rPr>
        <w:tab/>
        <w:t xml:space="preserve">As the information base for the study, the official statistics of the World Bank were taken (including M3 – broad money, gross capital formation, GDP, and population for individual countries) for the period 2006–2020. The period was chosen deliberately from the year before the real-estate bubble </w:t>
      </w:r>
      <w:r w:rsidR="000A7257">
        <w:rPr>
          <w:rFonts w:ascii="Times New Roman" w:hAnsi="Times New Roman" w:cs="Times New Roman"/>
          <w:color w:val="0E101A"/>
          <w:sz w:val="28"/>
          <w:szCs w:val="28"/>
        </w:rPr>
        <w:t>explosion</w:t>
      </w:r>
      <w:r>
        <w:rPr>
          <w:rFonts w:ascii="Times New Roman" w:hAnsi="Times New Roman" w:cs="Times New Roman"/>
          <w:color w:val="0E101A"/>
          <w:sz w:val="28"/>
          <w:szCs w:val="28"/>
        </w:rPr>
        <w:t xml:space="preserve"> to the year when the "COVID-19" crisis began. The influence of the latter one on the world economy has not yet ceased, and in certain markets, for example, electronics, it is only increasing these days </w:t>
      </w:r>
      <w:r w:rsidR="00BB7608">
        <w:rPr>
          <w:rFonts w:ascii="Times New Roman" w:hAnsi="Times New Roman" w:cs="Times New Roman"/>
          <w:color w:val="0E101A"/>
          <w:sz w:val="28"/>
          <w:szCs w:val="28"/>
        </w:rPr>
        <w:t>(</w:t>
      </w:r>
      <w:proofErr w:type="spellStart"/>
      <w:r w:rsidR="00BB7608">
        <w:rPr>
          <w:rFonts w:ascii="Times New Roman" w:hAnsi="Times New Roman" w:cs="Times New Roman"/>
          <w:sz w:val="28"/>
          <w:szCs w:val="28"/>
        </w:rPr>
        <w:t>Kelion</w:t>
      </w:r>
      <w:proofErr w:type="spellEnd"/>
      <w:r w:rsidR="00BB7608">
        <w:rPr>
          <w:rFonts w:ascii="Times New Roman" w:hAnsi="Times New Roman" w:cs="Times New Roman"/>
          <w:sz w:val="28"/>
          <w:szCs w:val="28"/>
        </w:rPr>
        <w:t>, 2021, February 5</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w:t>
      </w:r>
    </w:p>
    <w:p w14:paraId="56AD1D15" w14:textId="581FBC56" w:rsidR="00442AD0" w:rsidRDefault="00714119" w:rsidP="00F47E58">
      <w:pPr>
        <w:spacing w:line="276" w:lineRule="auto"/>
        <w:jc w:val="both"/>
        <w:rPr>
          <w:rFonts w:ascii="Times New Roman" w:hAnsi="Times New Roman" w:cs="Times New Roman"/>
          <w:color w:val="0E101A"/>
          <w:sz w:val="28"/>
          <w:szCs w:val="28"/>
        </w:rPr>
      </w:pPr>
      <w:r>
        <w:rPr>
          <w:rFonts w:ascii="Times New Roman" w:hAnsi="Times New Roman" w:cs="Times New Roman"/>
          <w:color w:val="0E101A"/>
          <w:sz w:val="28"/>
          <w:szCs w:val="28"/>
        </w:rPr>
        <w:tab/>
        <w:t xml:space="preserve">The calculations were accomplished </w:t>
      </w:r>
      <w:r w:rsidR="00AB15FB" w:rsidRPr="00AB15FB">
        <w:rPr>
          <w:rFonts w:ascii="Times New Roman" w:hAnsi="Times New Roman" w:cs="Times New Roman"/>
          <w:color w:val="0E101A"/>
          <w:sz w:val="28"/>
          <w:szCs w:val="28"/>
        </w:rPr>
        <w:t xml:space="preserve">in Python programming language using the statistics and machine learning library </w:t>
      </w:r>
      <w:r w:rsidR="002414BC">
        <w:rPr>
          <w:rFonts w:ascii="Times New Roman" w:hAnsi="Times New Roman" w:cs="Times New Roman"/>
          <w:color w:val="0E101A"/>
          <w:sz w:val="28"/>
          <w:szCs w:val="28"/>
        </w:rPr>
        <w:t>(</w:t>
      </w:r>
      <w:r w:rsidR="00AB15FB" w:rsidRPr="00AB15FB">
        <w:rPr>
          <w:rFonts w:ascii="Times New Roman" w:hAnsi="Times New Roman" w:cs="Times New Roman"/>
          <w:color w:val="0E101A"/>
          <w:sz w:val="28"/>
          <w:szCs w:val="28"/>
        </w:rPr>
        <w:t>Scikit-learn</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 The code and its execution results are given as an interactive notebook and are available at the following</w:t>
      </w:r>
      <w:r w:rsidR="002414BC">
        <w:rPr>
          <w:rFonts w:ascii="Times New Roman" w:hAnsi="Times New Roman" w:cs="Times New Roman"/>
          <w:color w:val="0E101A"/>
          <w:sz w:val="28"/>
          <w:szCs w:val="28"/>
        </w:rPr>
        <w:t xml:space="preserve"> </w:t>
      </w:r>
      <w:r>
        <w:rPr>
          <w:rFonts w:ascii="Times New Roman" w:hAnsi="Times New Roman" w:cs="Times New Roman"/>
          <w:color w:val="0E101A"/>
          <w:sz w:val="28"/>
          <w:szCs w:val="28"/>
        </w:rPr>
        <w:t xml:space="preserve">link </w:t>
      </w:r>
      <w:r w:rsidR="00BB7608">
        <w:rPr>
          <w:rFonts w:ascii="Times New Roman" w:hAnsi="Times New Roman" w:cs="Times New Roman"/>
          <w:color w:val="0E101A"/>
          <w:sz w:val="28"/>
          <w:szCs w:val="28"/>
        </w:rPr>
        <w:t>(</w:t>
      </w:r>
      <w:proofErr w:type="spellStart"/>
      <w:r w:rsidR="00376EB3" w:rsidRPr="00CF155F">
        <w:rPr>
          <w:rStyle w:val="StrongEmphasis"/>
          <w:rFonts w:ascii="Times New Roman" w:hAnsi="Times New Roman" w:cs="Times New Roman"/>
          <w:b w:val="0"/>
          <w:bCs w:val="0"/>
          <w:sz w:val="28"/>
          <w:szCs w:val="28"/>
          <w:shd w:val="clear" w:color="auto" w:fill="FFFFFF"/>
        </w:rPr>
        <w:t>Lypnytska</w:t>
      </w:r>
      <w:proofErr w:type="spellEnd"/>
      <w:r w:rsidR="002414BC">
        <w:rPr>
          <w:rStyle w:val="StrongEmphasis"/>
          <w:rFonts w:ascii="Times New Roman" w:hAnsi="Times New Roman" w:cs="Times New Roman"/>
          <w:b w:val="0"/>
          <w:bCs w:val="0"/>
          <w:sz w:val="28"/>
          <w:szCs w:val="28"/>
          <w:shd w:val="clear" w:color="auto" w:fill="FFFFFF"/>
        </w:rPr>
        <w:t>, GitHub</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w:t>
      </w:r>
    </w:p>
    <w:p w14:paraId="4A418DB6" w14:textId="05CFF2B7" w:rsidR="00442AD0" w:rsidRPr="00CF155F" w:rsidRDefault="00714119" w:rsidP="00CF155F">
      <w:pPr>
        <w:spacing w:line="276" w:lineRule="auto"/>
        <w:jc w:val="both"/>
        <w:rPr>
          <w:rFonts w:ascii="Times New Roman" w:hAnsi="Times New Roman" w:cs="Times New Roman"/>
          <w:color w:val="0E101A"/>
          <w:sz w:val="28"/>
          <w:szCs w:val="28"/>
        </w:rPr>
      </w:pPr>
      <w:r>
        <w:rPr>
          <w:rFonts w:ascii="Times New Roman" w:hAnsi="Times New Roman" w:cs="Times New Roman"/>
          <w:color w:val="0E101A"/>
          <w:sz w:val="28"/>
          <w:szCs w:val="28"/>
        </w:rPr>
        <w:lastRenderedPageBreak/>
        <w:tab/>
        <w:t xml:space="preserve">By the authors cited above </w:t>
      </w:r>
      <w:r w:rsidR="00BB7608">
        <w:rPr>
          <w:rFonts w:ascii="Times New Roman" w:hAnsi="Times New Roman" w:cs="Times New Roman"/>
          <w:color w:val="0E101A"/>
          <w:sz w:val="28"/>
          <w:szCs w:val="28"/>
        </w:rPr>
        <w:t>(</w:t>
      </w:r>
      <w:r w:rsidR="00CE2051" w:rsidRPr="00CF155F">
        <w:rPr>
          <w:rFonts w:ascii="Times New Roman" w:hAnsi="Times New Roman" w:cs="Times New Roman"/>
          <w:sz w:val="28"/>
          <w:szCs w:val="28"/>
          <w:shd w:val="clear" w:color="auto" w:fill="FFFFFF"/>
        </w:rPr>
        <w:t>Stiglitz, 2008</w:t>
      </w:r>
      <w:r w:rsidR="00BB7608" w:rsidRPr="00CF155F">
        <w:rPr>
          <w:rFonts w:ascii="Times New Roman" w:hAnsi="Times New Roman" w:cs="Times New Roman"/>
          <w:color w:val="0E101A"/>
          <w:sz w:val="28"/>
          <w:szCs w:val="28"/>
        </w:rPr>
        <w:t xml:space="preserve">, </w:t>
      </w:r>
      <w:proofErr w:type="spellStart"/>
      <w:r w:rsidR="00CF155F" w:rsidRPr="00CF155F">
        <w:rPr>
          <w:rFonts w:ascii="Times New Roman" w:hAnsi="Times New Roman" w:cs="Times New Roman"/>
          <w:color w:val="0E101A"/>
          <w:sz w:val="28"/>
          <w:szCs w:val="28"/>
        </w:rPr>
        <w:t>Blinov</w:t>
      </w:r>
      <w:proofErr w:type="spellEnd"/>
      <w:r w:rsidR="00BB7608" w:rsidRPr="00CF155F">
        <w:rPr>
          <w:rFonts w:ascii="Times New Roman" w:hAnsi="Times New Roman" w:cs="Times New Roman"/>
          <w:color w:val="0E101A"/>
          <w:sz w:val="28"/>
          <w:szCs w:val="28"/>
        </w:rPr>
        <w:t>,</w:t>
      </w:r>
      <w:r w:rsidR="00CF155F" w:rsidRPr="00CF155F">
        <w:rPr>
          <w:rFonts w:ascii="Times New Roman" w:hAnsi="Times New Roman" w:cs="Times New Roman"/>
          <w:color w:val="0E101A"/>
          <w:sz w:val="28"/>
          <w:szCs w:val="28"/>
        </w:rPr>
        <w:t xml:space="preserve"> </w:t>
      </w:r>
      <w:r w:rsidR="00BB7608" w:rsidRPr="00CF155F">
        <w:rPr>
          <w:rFonts w:ascii="Times New Roman" w:hAnsi="Times New Roman" w:cs="Times New Roman"/>
          <w:color w:val="0E101A"/>
          <w:sz w:val="28"/>
          <w:szCs w:val="28"/>
        </w:rPr>
        <w:t>20</w:t>
      </w:r>
      <w:r w:rsidR="00CF155F" w:rsidRPr="00CF155F">
        <w:rPr>
          <w:rFonts w:ascii="Times New Roman" w:hAnsi="Times New Roman" w:cs="Times New Roman"/>
          <w:color w:val="0E101A"/>
          <w:sz w:val="28"/>
          <w:szCs w:val="28"/>
        </w:rPr>
        <w:t>15</w:t>
      </w:r>
      <w:r w:rsidR="00BB7608" w:rsidRPr="00CF155F">
        <w:rPr>
          <w:rFonts w:ascii="Times New Roman" w:hAnsi="Times New Roman" w:cs="Times New Roman"/>
          <w:color w:val="0E101A"/>
          <w:sz w:val="28"/>
          <w:szCs w:val="28"/>
        </w:rPr>
        <w:t>)</w:t>
      </w:r>
      <w:r w:rsidR="00CF155F" w:rsidRPr="00CF155F">
        <w:rPr>
          <w:rFonts w:ascii="Times New Roman" w:hAnsi="Times New Roman" w:cs="Times New Roman"/>
          <w:color w:val="0E101A"/>
          <w:sz w:val="28"/>
          <w:szCs w:val="28"/>
        </w:rPr>
        <w:t xml:space="preserve"> </w:t>
      </w:r>
      <w:r>
        <w:rPr>
          <w:rFonts w:ascii="Times New Roman" w:hAnsi="Times New Roman" w:cs="Times New Roman"/>
          <w:color w:val="0E101A"/>
          <w:sz w:val="28"/>
          <w:szCs w:val="28"/>
        </w:rPr>
        <w:t>the relationship between monetary aggregates and GDP is considered to be confirmed. Investments are acknowledged as an intermediate agent for such influence. However, the impact of monetization on the investment itself has not been sufficiently and quantitively studied by them. Therefore, as a complement to the above-mentioned works, the impact of M3 money aggregate on gross capital formation was studied (to isolate the investment influence on GDP growth and examine it in its pure form).</w:t>
      </w:r>
    </w:p>
    <w:p w14:paraId="4FE66C36" w14:textId="0FF714AA" w:rsidR="00442AD0" w:rsidRDefault="00714119" w:rsidP="00F47E58">
      <w:pPr>
        <w:spacing w:line="276" w:lineRule="auto"/>
        <w:jc w:val="both"/>
        <w:rPr>
          <w:rFonts w:ascii="Times New Roman" w:hAnsi="Times New Roman" w:cs="Times New Roman"/>
          <w:color w:val="0E101A"/>
          <w:sz w:val="28"/>
          <w:szCs w:val="28"/>
        </w:rPr>
      </w:pPr>
      <w:r>
        <w:rPr>
          <w:rFonts w:ascii="Times New Roman" w:hAnsi="Times New Roman" w:cs="Times New Roman"/>
          <w:color w:val="0E101A"/>
          <w:sz w:val="28"/>
          <w:szCs w:val="28"/>
        </w:rPr>
        <w:tab/>
        <w:t xml:space="preserve">The relationship between broad money and investment was measured by computing the Pearson correlation coefficients </w:t>
      </w:r>
      <w:r w:rsidR="00CF155F">
        <w:rPr>
          <w:rFonts w:ascii="Times New Roman" w:hAnsi="Times New Roman" w:cs="Times New Roman"/>
          <w:color w:val="0E101A"/>
          <w:sz w:val="28"/>
          <w:szCs w:val="28"/>
        </w:rPr>
        <w:t>(</w:t>
      </w:r>
      <w:r w:rsidR="00CF155F">
        <w:rPr>
          <w:rFonts w:ascii="Times New Roman" w:hAnsi="Times New Roman" w:cs="Times New Roman"/>
          <w:color w:val="auto"/>
          <w:sz w:val="28"/>
          <w:szCs w:val="28"/>
        </w:rPr>
        <w:t>All of Sta</w:t>
      </w:r>
      <w:r w:rsidR="00CF155F">
        <w:rPr>
          <w:rFonts w:ascii="Times New Roman" w:hAnsi="Times New Roman" w:cs="Times New Roman"/>
          <w:sz w:val="28"/>
          <w:szCs w:val="28"/>
        </w:rPr>
        <w:t>tistics, 2004</w:t>
      </w:r>
      <w:r w:rsidR="00CF155F">
        <w:rPr>
          <w:rFonts w:ascii="Times New Roman" w:hAnsi="Times New Roman" w:cs="Times New Roman"/>
          <w:color w:val="0E101A"/>
          <w:sz w:val="28"/>
          <w:szCs w:val="28"/>
        </w:rPr>
        <w:t>)</w:t>
      </w:r>
      <w:r>
        <w:rPr>
          <w:rFonts w:ascii="Times New Roman" w:hAnsi="Times New Roman" w:cs="Times New Roman"/>
          <w:color w:val="0E101A"/>
          <w:sz w:val="28"/>
          <w:szCs w:val="28"/>
        </w:rPr>
        <w:t xml:space="preserve"> for all countries from the World Bank report. Then the empirical threshold for the Pearson coefficient was set at 65%. This threshold helped to separate the countries with a proven relationship between broad money and investment activity. Table 3 below shows a fragment of the </w:t>
      </w:r>
      <w:r w:rsidR="006D1761">
        <w:rPr>
          <w:rFonts w:ascii="Times New Roman" w:hAnsi="Times New Roman" w:cs="Times New Roman"/>
          <w:color w:val="0E101A"/>
          <w:sz w:val="28"/>
          <w:szCs w:val="28"/>
        </w:rPr>
        <w:t>top list</w:t>
      </w:r>
      <w:r>
        <w:rPr>
          <w:rFonts w:ascii="Times New Roman" w:hAnsi="Times New Roman" w:cs="Times New Roman"/>
          <w:color w:val="0E101A"/>
          <w:sz w:val="28"/>
          <w:szCs w:val="28"/>
        </w:rPr>
        <w:t>, sorted by the correlation strength.</w:t>
      </w:r>
    </w:p>
    <w:p w14:paraId="78B7E47E" w14:textId="40E5235A" w:rsidR="00442AD0" w:rsidRPr="00CF155F" w:rsidRDefault="00714119" w:rsidP="00CF155F">
      <w:pPr>
        <w:spacing w:line="276" w:lineRule="auto"/>
        <w:jc w:val="both"/>
        <w:rPr>
          <w:rFonts w:ascii="Times New Roman" w:hAnsi="Times New Roman" w:cs="Times New Roman"/>
          <w:color w:val="0E101A"/>
          <w:sz w:val="28"/>
          <w:szCs w:val="28"/>
        </w:rPr>
      </w:pPr>
      <w:r>
        <w:rPr>
          <w:rFonts w:ascii="Times New Roman" w:hAnsi="Times New Roman" w:cs="Times New Roman"/>
          <w:color w:val="0E101A"/>
          <w:sz w:val="28"/>
          <w:szCs w:val="28"/>
        </w:rPr>
        <w:tab/>
        <w:t xml:space="preserve"> </w:t>
      </w:r>
      <w:r>
        <w:rPr>
          <w:rFonts w:ascii="Times New Roman" w:hAnsi="Times New Roman" w:cs="Times New Roman"/>
          <w:sz w:val="28"/>
          <w:szCs w:val="28"/>
        </w:rPr>
        <w:t xml:space="preserve">                              </w:t>
      </w:r>
      <w:r>
        <w:rPr>
          <w:rFonts w:ascii="Times New Roman" w:hAnsi="Times New Roman" w:cs="Times New Roman"/>
          <w:sz w:val="28"/>
          <w:szCs w:val="28"/>
        </w:rPr>
        <w:br/>
        <w:t xml:space="preserve">                                                  Table 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2AAFD1A7" w14:textId="77777777" w:rsidR="00B94EC9" w:rsidRDefault="00714119">
      <w:pPr>
        <w:rPr>
          <w:rFonts w:ascii="Times New Roman" w:hAnsi="Times New Roman" w:cs="Times New Roman"/>
          <w:sz w:val="28"/>
          <w:szCs w:val="28"/>
        </w:rPr>
      </w:pPr>
      <w:r>
        <w:rPr>
          <w:rFonts w:ascii="Times New Roman" w:hAnsi="Times New Roman" w:cs="Times New Roman"/>
          <w:sz w:val="28"/>
          <w:szCs w:val="28"/>
        </w:rPr>
        <w:t xml:space="preserve"> TOP countries by </w:t>
      </w:r>
      <w:r w:rsidR="006D1761">
        <w:rPr>
          <w:rFonts w:ascii="Times New Roman" w:hAnsi="Times New Roman" w:cs="Times New Roman"/>
          <w:sz w:val="28"/>
          <w:szCs w:val="28"/>
        </w:rPr>
        <w:t xml:space="preserve">the </w:t>
      </w:r>
      <w:r>
        <w:rPr>
          <w:rFonts w:ascii="Times New Roman" w:hAnsi="Times New Roman" w:cs="Times New Roman"/>
          <w:sz w:val="28"/>
          <w:szCs w:val="28"/>
        </w:rPr>
        <w:t>correlation</w:t>
      </w:r>
    </w:p>
    <w:p w14:paraId="175C6E91" w14:textId="34F3D0B7" w:rsidR="00B94EC9" w:rsidRDefault="00714119">
      <w:pPr>
        <w:rPr>
          <w:rFonts w:ascii="Times New Roman" w:hAnsi="Times New Roman" w:cs="Times New Roman"/>
          <w:sz w:val="28"/>
          <w:szCs w:val="28"/>
        </w:rPr>
      </w:pPr>
      <w:r>
        <w:rPr>
          <w:rFonts w:ascii="Times New Roman" w:hAnsi="Times New Roman" w:cs="Times New Roman"/>
          <w:sz w:val="28"/>
          <w:szCs w:val="28"/>
        </w:rPr>
        <w:t xml:space="preserve"> between М3 and gross capital</w:t>
      </w:r>
    </w:p>
    <w:p w14:paraId="592246B8" w14:textId="2C718C52" w:rsidR="00442AD0" w:rsidRDefault="00B94EC9">
      <w:pPr>
        <w:rPr>
          <w:rFonts w:ascii="Times New Roman" w:hAnsi="Times New Roman" w:cs="Times New Roman"/>
          <w:sz w:val="28"/>
          <w:szCs w:val="28"/>
        </w:rPr>
      </w:pPr>
      <w:r>
        <w:rPr>
          <w:rFonts w:ascii="Times New Roman" w:hAnsi="Times New Roman" w:cs="Times New Roman"/>
          <w:sz w:val="28"/>
          <w:szCs w:val="28"/>
        </w:rPr>
        <w:t xml:space="preserve"> </w:t>
      </w:r>
      <w:r w:rsidR="00714119">
        <w:rPr>
          <w:rFonts w:ascii="Times New Roman" w:hAnsi="Times New Roman" w:cs="Times New Roman"/>
          <w:sz w:val="28"/>
          <w:szCs w:val="28"/>
        </w:rPr>
        <w:t>formation (2020)</w:t>
      </w:r>
    </w:p>
    <w:p w14:paraId="119425FF" w14:textId="1B20F4C4" w:rsidR="00B94EC9" w:rsidRPr="00B94EC9" w:rsidRDefault="00B94EC9">
      <w:pPr>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8" behindDoc="0" locked="0" layoutInCell="1" allowOverlap="1" wp14:anchorId="2694B643" wp14:editId="05019459">
            <wp:simplePos x="0" y="0"/>
            <wp:positionH relativeFrom="column">
              <wp:posOffset>2915599</wp:posOffset>
            </wp:positionH>
            <wp:positionV relativeFrom="paragraph">
              <wp:posOffset>214820</wp:posOffset>
            </wp:positionV>
            <wp:extent cx="2938780" cy="2198370"/>
            <wp:effectExtent l="0" t="0" r="0" b="0"/>
            <wp:wrapSquare wrapText="largest"/>
            <wp:docPr id="4" name="Image2" descr="Изображение выглядит как текст, седз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Изображение выглядит как текст, седзи&#10;&#10;Автоматически созданное описание"/>
                    <pic:cNvPicPr>
                      <a:picLocks noChangeAspect="1" noChangeArrowheads="1"/>
                    </pic:cNvPicPr>
                  </pic:nvPicPr>
                  <pic:blipFill>
                    <a:blip r:embed="rId13"/>
                    <a:stretch>
                      <a:fillRect/>
                    </a:stretch>
                  </pic:blipFill>
                  <pic:spPr bwMode="auto">
                    <a:xfrm>
                      <a:off x="0" y="0"/>
                      <a:ext cx="2938780" cy="2198370"/>
                    </a:xfrm>
                    <a:prstGeom prst="rect">
                      <a:avLst/>
                    </a:prstGeom>
                  </pic:spPr>
                </pic:pic>
              </a:graphicData>
            </a:graphic>
          </wp:anchor>
        </w:drawing>
      </w:r>
    </w:p>
    <w:tbl>
      <w:tblPr>
        <w:tblW w:w="4395" w:type="dxa"/>
        <w:tblInd w:w="-5" w:type="dxa"/>
        <w:tblLayout w:type="fixed"/>
        <w:tblCellMar>
          <w:top w:w="55" w:type="dxa"/>
          <w:left w:w="55" w:type="dxa"/>
          <w:bottom w:w="55" w:type="dxa"/>
          <w:right w:w="55" w:type="dxa"/>
        </w:tblCellMar>
        <w:tblLook w:val="04A0" w:firstRow="1" w:lastRow="0" w:firstColumn="1" w:lastColumn="0" w:noHBand="0" w:noVBand="1"/>
      </w:tblPr>
      <w:tblGrid>
        <w:gridCol w:w="1274"/>
        <w:gridCol w:w="1613"/>
        <w:gridCol w:w="1508"/>
      </w:tblGrid>
      <w:tr w:rsidR="00442AD0" w14:paraId="5B0DBF77" w14:textId="77777777">
        <w:tc>
          <w:tcPr>
            <w:tcW w:w="1274" w:type="dxa"/>
            <w:tcBorders>
              <w:top w:val="single" w:sz="4" w:space="0" w:color="000000"/>
              <w:left w:val="single" w:sz="4" w:space="0" w:color="000000"/>
              <w:bottom w:val="single" w:sz="4" w:space="0" w:color="000000"/>
            </w:tcBorders>
          </w:tcPr>
          <w:p w14:paraId="12FFF9A2" w14:textId="648AF008" w:rsidR="00442AD0" w:rsidRDefault="00714119">
            <w:pPr>
              <w:pStyle w:val="TableContents"/>
              <w:jc w:val="both"/>
              <w:rPr>
                <w:rFonts w:ascii="Times New Roman" w:hAnsi="Times New Roman" w:cs="Times New Roman"/>
                <w:b/>
                <w:bCs/>
              </w:rPr>
            </w:pPr>
            <w:r>
              <w:rPr>
                <w:noProof/>
              </w:rPr>
              <mc:AlternateContent>
                <mc:Choice Requires="wps">
                  <w:drawing>
                    <wp:anchor distT="0" distB="0" distL="0" distR="0" simplePos="0" relativeHeight="5" behindDoc="0" locked="0" layoutInCell="0" allowOverlap="1" wp14:anchorId="31DCEFC1" wp14:editId="025EE32B">
                      <wp:simplePos x="0" y="0"/>
                      <wp:positionH relativeFrom="column">
                        <wp:posOffset>3112556</wp:posOffset>
                      </wp:positionH>
                      <wp:positionV relativeFrom="paragraph">
                        <wp:posOffset>2288532</wp:posOffset>
                      </wp:positionV>
                      <wp:extent cx="2629584" cy="715010"/>
                      <wp:effectExtent l="0" t="0" r="18415" b="8890"/>
                      <wp:wrapNone/>
                      <wp:docPr id="5" name="Text Frame 1"/>
                      <wp:cNvGraphicFramePr/>
                      <a:graphic xmlns:a="http://schemas.openxmlformats.org/drawingml/2006/main">
                        <a:graphicData uri="http://schemas.microsoft.com/office/word/2010/wordprocessingShape">
                          <wps:wsp>
                            <wps:cNvSpPr/>
                            <wps:spPr>
                              <a:xfrm>
                                <a:off x="0" y="0"/>
                                <a:ext cx="2629584" cy="715010"/>
                              </a:xfrm>
                              <a:prstGeom prst="rect">
                                <a:avLst/>
                              </a:prstGeom>
                              <a:noFill/>
                              <a:ln w="0">
                                <a:noFill/>
                              </a:ln>
                            </wps:spPr>
                            <wps:style>
                              <a:lnRef idx="0">
                                <a:scrgbClr r="0" g="0" b="0"/>
                              </a:lnRef>
                              <a:fillRef idx="0">
                                <a:scrgbClr r="0" g="0" b="0"/>
                              </a:fillRef>
                              <a:effectRef idx="0">
                                <a:scrgbClr r="0" g="0" b="0"/>
                              </a:effectRef>
                              <a:fontRef idx="minor"/>
                            </wps:style>
                            <wps:txbx>
                              <w:txbxContent>
                                <w:p w14:paraId="737A07E0" w14:textId="3FDE0CD6" w:rsidR="00442AD0" w:rsidRDefault="00714119">
                                  <w:pPr>
                                    <w:pStyle w:val="FrameContents"/>
                                    <w:widowControl w:val="0"/>
                                    <w:spacing w:line="276" w:lineRule="auto"/>
                                  </w:pPr>
                                  <w:r>
                                    <w:rPr>
                                      <w:rFonts w:ascii="Times New Roman" w:eastAsia="Arial Unicode MS" w:hAnsi="Times New Roman" w:cs="Times New Roman"/>
                                      <w:color w:val="000000"/>
                                      <w:kern w:val="0"/>
                                      <w:sz w:val="28"/>
                                      <w:szCs w:val="28"/>
                                      <w:lang w:eastAsia="uk-UA" w:bidi="ar-SA"/>
                                    </w:rPr>
                                    <w:t xml:space="preserve">Figure 4. </w:t>
                                  </w:r>
                                  <w:bookmarkStart w:id="0" w:name="tw-target-text"/>
                                  <w:bookmarkEnd w:id="0"/>
                                  <w:r>
                                    <w:rPr>
                                      <w:rFonts w:ascii="Times New Roman" w:eastAsia="Arial Unicode MS" w:hAnsi="Times New Roman" w:cs="Times New Roman"/>
                                      <w:color w:val="000000"/>
                                      <w:kern w:val="0"/>
                                      <w:sz w:val="28"/>
                                      <w:szCs w:val="28"/>
                                      <w:lang w:eastAsia="uk-UA" w:bidi="ar-SA"/>
                                    </w:rPr>
                                    <w:t xml:space="preserve">Histogram of </w:t>
                                  </w:r>
                                  <w:r w:rsidR="00B94EC9">
                                    <w:rPr>
                                      <w:rFonts w:ascii="Times New Roman" w:eastAsia="Arial Unicode MS" w:hAnsi="Times New Roman" w:cs="Times New Roman"/>
                                      <w:color w:val="000000"/>
                                      <w:kern w:val="0"/>
                                      <w:sz w:val="28"/>
                                      <w:szCs w:val="28"/>
                                      <w:lang w:eastAsia="uk-UA" w:bidi="ar-SA"/>
                                    </w:rPr>
                                    <w:t>correlation between</w:t>
                                  </w:r>
                                  <w:r>
                                    <w:rPr>
                                      <w:rFonts w:ascii="Times New Roman" w:eastAsia="Arial Unicode MS" w:hAnsi="Times New Roman" w:cs="Times New Roman"/>
                                      <w:color w:val="000000"/>
                                      <w:kern w:val="0"/>
                                      <w:sz w:val="28"/>
                                      <w:szCs w:val="28"/>
                                      <w:lang w:eastAsia="uk-UA" w:bidi="ar-SA"/>
                                    </w:rPr>
                                    <w:t xml:space="preserve"> broad money and gross capital formation</w:t>
                                  </w:r>
                                </w:p>
                                <w:p w14:paraId="2B8CFFCE" w14:textId="77777777" w:rsidR="00442AD0" w:rsidRDefault="00442AD0">
                                  <w:pPr>
                                    <w:pStyle w:val="FrameContents"/>
                                    <w:widowControl w:val="0"/>
                                    <w:spacing w:line="276" w:lineRule="auto"/>
                                  </w:pPr>
                                </w:p>
                              </w:txbxContent>
                            </wps:txbx>
                            <wps:bodyPr wrap="square" lIns="0" tIns="0" rIns="0" bIns="0" anchor="t">
                              <a:noAutofit/>
                            </wps:bodyPr>
                          </wps:wsp>
                        </a:graphicData>
                      </a:graphic>
                      <wp14:sizeRelH relativeFrom="margin">
                        <wp14:pctWidth>0</wp14:pctWidth>
                      </wp14:sizeRelH>
                    </wp:anchor>
                  </w:drawing>
                </mc:Choice>
                <mc:Fallback>
                  <w:pict>
                    <v:rect w14:anchorId="31DCEFC1" id="Text Frame 1" o:spid="_x0000_s1026" style="position:absolute;left:0;text-align:left;margin-left:245.1pt;margin-top:180.2pt;width:207.05pt;height:56.3pt;z-index:5;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" o:allowincell="f" filled="f" stroked="f" strokeweight="0">
                      <v:textbox inset="0,0,0,0">
                        <w:txbxContent>
                          <w:p w14:paraId="737A07E0" w14:textId="3FDE0CD6" w:rsidR="00442AD0" w:rsidRDefault="00714119">
                            <w:pPr>
                              <w:pStyle w:val="FrameContents"/>
                              <w:widowControl w:val="0"/>
                              <w:spacing w:line="276" w:lineRule="auto"/>
                            </w:pPr>
                            <w:r>
                              <w:rPr>
                                <w:rFonts w:ascii="Times New Roman" w:eastAsia="Arial Unicode MS" w:hAnsi="Times New Roman" w:cs="Times New Roman"/>
                                <w:color w:val="000000"/>
                                <w:kern w:val="0"/>
                                <w:sz w:val="28"/>
                                <w:szCs w:val="28"/>
                                <w:lang w:eastAsia="uk-UA" w:bidi="ar-SA"/>
                              </w:rPr>
                              <w:t xml:space="preserve">Figure 4. </w:t>
                            </w:r>
                            <w:bookmarkStart w:id="1" w:name="tw-target-text"/>
                            <w:bookmarkEnd w:id="1"/>
                            <w:r>
                              <w:rPr>
                                <w:rFonts w:ascii="Times New Roman" w:eastAsia="Arial Unicode MS" w:hAnsi="Times New Roman" w:cs="Times New Roman"/>
                                <w:color w:val="000000"/>
                                <w:kern w:val="0"/>
                                <w:sz w:val="28"/>
                                <w:szCs w:val="28"/>
                                <w:lang w:eastAsia="uk-UA" w:bidi="ar-SA"/>
                              </w:rPr>
                              <w:t xml:space="preserve">Histogram of </w:t>
                            </w:r>
                            <w:r w:rsidR="00B94EC9">
                              <w:rPr>
                                <w:rFonts w:ascii="Times New Roman" w:eastAsia="Arial Unicode MS" w:hAnsi="Times New Roman" w:cs="Times New Roman"/>
                                <w:color w:val="000000"/>
                                <w:kern w:val="0"/>
                                <w:sz w:val="28"/>
                                <w:szCs w:val="28"/>
                                <w:lang w:eastAsia="uk-UA" w:bidi="ar-SA"/>
                              </w:rPr>
                              <w:t>correlation between</w:t>
                            </w:r>
                            <w:r>
                              <w:rPr>
                                <w:rFonts w:ascii="Times New Roman" w:eastAsia="Arial Unicode MS" w:hAnsi="Times New Roman" w:cs="Times New Roman"/>
                                <w:color w:val="000000"/>
                                <w:kern w:val="0"/>
                                <w:sz w:val="28"/>
                                <w:szCs w:val="28"/>
                                <w:lang w:eastAsia="uk-UA" w:bidi="ar-SA"/>
                              </w:rPr>
                              <w:t xml:space="preserve"> broad money and gross capital formation</w:t>
                            </w:r>
                          </w:p>
                          <w:p w14:paraId="2B8CFFCE" w14:textId="77777777" w:rsidR="00442AD0" w:rsidRDefault="00442AD0">
                            <w:pPr>
                              <w:pStyle w:val="FrameContents"/>
                              <w:widowControl w:val="0"/>
                              <w:spacing w:line="276" w:lineRule="auto"/>
                            </w:pPr>
                          </w:p>
                        </w:txbxContent>
                      </v:textbox>
                    </v:rect>
                  </w:pict>
                </mc:Fallback>
              </mc:AlternateContent>
            </w:r>
            <w:r>
              <w:rPr>
                <w:rFonts w:ascii="Times New Roman" w:hAnsi="Times New Roman" w:cs="Times New Roman"/>
                <w:b/>
                <w:bCs/>
              </w:rPr>
              <w:t>Country</w:t>
            </w:r>
          </w:p>
        </w:tc>
        <w:tc>
          <w:tcPr>
            <w:tcW w:w="1613" w:type="dxa"/>
            <w:tcBorders>
              <w:top w:val="single" w:sz="4" w:space="0" w:color="000000"/>
              <w:left w:val="single" w:sz="4" w:space="0" w:color="000000"/>
              <w:bottom w:val="single" w:sz="4" w:space="0" w:color="000000"/>
            </w:tcBorders>
          </w:tcPr>
          <w:p w14:paraId="011867D7" w14:textId="77777777" w:rsidR="00442AD0" w:rsidRDefault="00714119">
            <w:pPr>
              <w:widowControl w:val="0"/>
              <w:jc w:val="both"/>
              <w:rPr>
                <w:rFonts w:ascii="Times New Roman" w:hAnsi="Times New Roman" w:cs="Times New Roman"/>
                <w:b/>
                <w:bCs/>
                <w:sz w:val="28"/>
                <w:szCs w:val="28"/>
              </w:rPr>
            </w:pPr>
            <w:r>
              <w:rPr>
                <w:rFonts w:ascii="Times New Roman" w:hAnsi="Times New Roman" w:cs="Times New Roman"/>
                <w:b/>
                <w:bCs/>
                <w:sz w:val="28"/>
                <w:szCs w:val="28"/>
              </w:rPr>
              <w:t>Correlation coefficients</w:t>
            </w:r>
          </w:p>
        </w:tc>
        <w:tc>
          <w:tcPr>
            <w:tcW w:w="1508" w:type="dxa"/>
            <w:tcBorders>
              <w:top w:val="single" w:sz="4" w:space="0" w:color="000000"/>
              <w:left w:val="single" w:sz="4" w:space="0" w:color="000000"/>
              <w:bottom w:val="single" w:sz="4" w:space="0" w:color="000000"/>
              <w:right w:val="single" w:sz="4" w:space="0" w:color="000000"/>
            </w:tcBorders>
          </w:tcPr>
          <w:p w14:paraId="2054481F" w14:textId="77777777" w:rsidR="00442AD0" w:rsidRDefault="00714119">
            <w:pPr>
              <w:pStyle w:val="TableContents"/>
              <w:jc w:val="both"/>
              <w:rPr>
                <w:rFonts w:ascii="Times New Roman" w:hAnsi="Times New Roman" w:cs="Times New Roman"/>
                <w:b/>
                <w:bCs/>
              </w:rPr>
            </w:pPr>
            <w:r>
              <w:rPr>
                <w:rFonts w:ascii="Times New Roman" w:hAnsi="Times New Roman" w:cs="Times New Roman"/>
                <w:b/>
                <w:bCs/>
              </w:rPr>
              <w:t>GDP per</w:t>
            </w:r>
          </w:p>
          <w:p w14:paraId="5C5F9CC3" w14:textId="401FD240" w:rsidR="00442AD0" w:rsidRDefault="00714119">
            <w:pPr>
              <w:pStyle w:val="TableContents"/>
              <w:jc w:val="both"/>
              <w:rPr>
                <w:rFonts w:ascii="Times New Roman" w:hAnsi="Times New Roman" w:cs="Times New Roman"/>
                <w:b/>
                <w:bCs/>
              </w:rPr>
            </w:pPr>
            <w:r>
              <w:rPr>
                <w:rFonts w:ascii="Times New Roman" w:hAnsi="Times New Roman" w:cs="Times New Roman"/>
                <w:b/>
                <w:bCs/>
              </w:rPr>
              <w:t>capita, USD</w:t>
            </w:r>
          </w:p>
        </w:tc>
      </w:tr>
      <w:tr w:rsidR="00442AD0" w14:paraId="7EF7AA06" w14:textId="77777777">
        <w:tc>
          <w:tcPr>
            <w:tcW w:w="1274" w:type="dxa"/>
            <w:tcBorders>
              <w:left w:val="single" w:sz="4" w:space="0" w:color="000000"/>
              <w:bottom w:val="single" w:sz="4" w:space="0" w:color="000000"/>
            </w:tcBorders>
            <w:vAlign w:val="center"/>
          </w:tcPr>
          <w:p w14:paraId="3977197D"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2" w:name="tw-target-text12"/>
            <w:bookmarkEnd w:id="2"/>
            <w:r>
              <w:rPr>
                <w:rFonts w:ascii="Times New Roman" w:eastAsia="Songti SC" w:hAnsi="Times New Roman" w:cs="Times New Roman"/>
                <w:kern w:val="2"/>
                <w:sz w:val="24"/>
                <w:szCs w:val="24"/>
                <w:lang w:eastAsia="zh-CN" w:bidi="hi-IN"/>
              </w:rPr>
              <w:t>Kazakhstan</w:t>
            </w:r>
          </w:p>
        </w:tc>
        <w:tc>
          <w:tcPr>
            <w:tcW w:w="1613" w:type="dxa"/>
            <w:tcBorders>
              <w:left w:val="single" w:sz="4" w:space="0" w:color="000000"/>
              <w:bottom w:val="single" w:sz="4" w:space="0" w:color="000000"/>
            </w:tcBorders>
            <w:vAlign w:val="center"/>
          </w:tcPr>
          <w:p w14:paraId="2919A169" w14:textId="77777777" w:rsidR="00442AD0" w:rsidRDefault="00714119">
            <w:pPr>
              <w:pStyle w:val="TableContents"/>
              <w:jc w:val="center"/>
              <w:rPr>
                <w:rFonts w:ascii="Times New Roman" w:hAnsi="Times New Roman" w:cs="Times New Roman"/>
              </w:rPr>
            </w:pPr>
            <w:r>
              <w:rPr>
                <w:rFonts w:ascii="Times New Roman" w:hAnsi="Times New Roman" w:cs="Times New Roman"/>
              </w:rPr>
              <w:t>0,956351</w:t>
            </w:r>
          </w:p>
        </w:tc>
        <w:tc>
          <w:tcPr>
            <w:tcW w:w="1508" w:type="dxa"/>
            <w:tcBorders>
              <w:left w:val="single" w:sz="4" w:space="0" w:color="000000"/>
              <w:bottom w:val="single" w:sz="4" w:space="0" w:color="000000"/>
              <w:right w:val="single" w:sz="4" w:space="0" w:color="000000"/>
            </w:tcBorders>
            <w:vAlign w:val="center"/>
          </w:tcPr>
          <w:p w14:paraId="5751FA2E" w14:textId="77777777" w:rsidR="00442AD0" w:rsidRDefault="00714119">
            <w:pPr>
              <w:pStyle w:val="TableContents"/>
              <w:jc w:val="center"/>
              <w:rPr>
                <w:rFonts w:ascii="Times New Roman" w:hAnsi="Times New Roman" w:cs="Times New Roman"/>
              </w:rPr>
            </w:pPr>
            <w:r>
              <w:rPr>
                <w:rFonts w:ascii="Times New Roman" w:hAnsi="Times New Roman" w:cs="Times New Roman"/>
              </w:rPr>
              <w:t>26 352</w:t>
            </w:r>
          </w:p>
        </w:tc>
      </w:tr>
      <w:tr w:rsidR="00442AD0" w14:paraId="1DE7C9ED" w14:textId="77777777">
        <w:tc>
          <w:tcPr>
            <w:tcW w:w="1274" w:type="dxa"/>
            <w:tcBorders>
              <w:left w:val="single" w:sz="4" w:space="0" w:color="000000"/>
              <w:bottom w:val="single" w:sz="4" w:space="0" w:color="000000"/>
            </w:tcBorders>
            <w:vAlign w:val="center"/>
          </w:tcPr>
          <w:p w14:paraId="7E4296EC"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3" w:name="tw-target-text13"/>
            <w:bookmarkEnd w:id="3"/>
            <w:r>
              <w:rPr>
                <w:rFonts w:ascii="Times New Roman" w:eastAsia="Songti SC" w:hAnsi="Times New Roman" w:cs="Times New Roman"/>
                <w:kern w:val="2"/>
                <w:sz w:val="24"/>
                <w:szCs w:val="24"/>
                <w:lang w:eastAsia="zh-CN" w:bidi="hi-IN"/>
              </w:rPr>
              <w:t>Sweden</w:t>
            </w:r>
          </w:p>
        </w:tc>
        <w:tc>
          <w:tcPr>
            <w:tcW w:w="1613" w:type="dxa"/>
            <w:tcBorders>
              <w:left w:val="single" w:sz="4" w:space="0" w:color="000000"/>
              <w:bottom w:val="single" w:sz="4" w:space="0" w:color="000000"/>
            </w:tcBorders>
            <w:vAlign w:val="center"/>
          </w:tcPr>
          <w:p w14:paraId="5BA4C78E" w14:textId="77777777" w:rsidR="00442AD0" w:rsidRDefault="00714119">
            <w:pPr>
              <w:pStyle w:val="TableContents"/>
              <w:jc w:val="center"/>
              <w:rPr>
                <w:rFonts w:ascii="Times New Roman" w:hAnsi="Times New Roman" w:cs="Times New Roman"/>
              </w:rPr>
            </w:pPr>
            <w:r>
              <w:rPr>
                <w:rFonts w:ascii="Times New Roman" w:hAnsi="Times New Roman" w:cs="Times New Roman"/>
              </w:rPr>
              <w:t>0,956661</w:t>
            </w:r>
          </w:p>
        </w:tc>
        <w:tc>
          <w:tcPr>
            <w:tcW w:w="1508" w:type="dxa"/>
            <w:tcBorders>
              <w:left w:val="single" w:sz="4" w:space="0" w:color="000000"/>
              <w:bottom w:val="single" w:sz="4" w:space="0" w:color="000000"/>
              <w:right w:val="single" w:sz="4" w:space="0" w:color="000000"/>
            </w:tcBorders>
            <w:vAlign w:val="center"/>
          </w:tcPr>
          <w:p w14:paraId="5B887B1C" w14:textId="77777777" w:rsidR="00442AD0" w:rsidRDefault="00714119">
            <w:pPr>
              <w:pStyle w:val="TableContents"/>
              <w:jc w:val="center"/>
              <w:rPr>
                <w:rFonts w:ascii="Times New Roman" w:hAnsi="Times New Roman" w:cs="Times New Roman"/>
              </w:rPr>
            </w:pPr>
            <w:r>
              <w:rPr>
                <w:rFonts w:ascii="Times New Roman" w:hAnsi="Times New Roman" w:cs="Times New Roman"/>
              </w:rPr>
              <w:t>52 850</w:t>
            </w:r>
          </w:p>
        </w:tc>
      </w:tr>
      <w:tr w:rsidR="00442AD0" w14:paraId="17A99B94" w14:textId="77777777">
        <w:tc>
          <w:tcPr>
            <w:tcW w:w="1274" w:type="dxa"/>
            <w:tcBorders>
              <w:left w:val="single" w:sz="4" w:space="0" w:color="000000"/>
              <w:bottom w:val="single" w:sz="4" w:space="0" w:color="000000"/>
            </w:tcBorders>
            <w:vAlign w:val="center"/>
          </w:tcPr>
          <w:p w14:paraId="603A3A06"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4" w:name="tw-target-text14"/>
            <w:bookmarkEnd w:id="4"/>
            <w:r>
              <w:rPr>
                <w:rFonts w:ascii="Times New Roman" w:eastAsia="Songti SC" w:hAnsi="Times New Roman" w:cs="Times New Roman"/>
                <w:kern w:val="2"/>
                <w:sz w:val="24"/>
                <w:szCs w:val="24"/>
                <w:lang w:eastAsia="zh-CN" w:bidi="hi-IN"/>
              </w:rPr>
              <w:t>Peru</w:t>
            </w:r>
          </w:p>
        </w:tc>
        <w:tc>
          <w:tcPr>
            <w:tcW w:w="1613" w:type="dxa"/>
            <w:tcBorders>
              <w:left w:val="single" w:sz="4" w:space="0" w:color="000000"/>
              <w:bottom w:val="single" w:sz="4" w:space="0" w:color="000000"/>
            </w:tcBorders>
            <w:vAlign w:val="center"/>
          </w:tcPr>
          <w:p w14:paraId="34D0E979" w14:textId="77777777" w:rsidR="00442AD0" w:rsidRDefault="00714119">
            <w:pPr>
              <w:pStyle w:val="TableContents"/>
              <w:jc w:val="center"/>
              <w:rPr>
                <w:rFonts w:ascii="Times New Roman" w:hAnsi="Times New Roman" w:cs="Times New Roman"/>
              </w:rPr>
            </w:pPr>
            <w:r>
              <w:rPr>
                <w:rFonts w:ascii="Times New Roman" w:hAnsi="Times New Roman" w:cs="Times New Roman"/>
              </w:rPr>
              <w:t>0,958855</w:t>
            </w:r>
          </w:p>
        </w:tc>
        <w:tc>
          <w:tcPr>
            <w:tcW w:w="1508" w:type="dxa"/>
            <w:tcBorders>
              <w:left w:val="single" w:sz="4" w:space="0" w:color="000000"/>
              <w:bottom w:val="single" w:sz="4" w:space="0" w:color="000000"/>
              <w:right w:val="single" w:sz="4" w:space="0" w:color="000000"/>
            </w:tcBorders>
            <w:vAlign w:val="center"/>
          </w:tcPr>
          <w:p w14:paraId="4D999302" w14:textId="77777777" w:rsidR="00442AD0" w:rsidRDefault="00714119">
            <w:pPr>
              <w:pStyle w:val="TableContents"/>
              <w:jc w:val="center"/>
              <w:rPr>
                <w:rFonts w:ascii="Times New Roman" w:hAnsi="Times New Roman" w:cs="Times New Roman"/>
              </w:rPr>
            </w:pPr>
            <w:r>
              <w:rPr>
                <w:rFonts w:ascii="Times New Roman" w:hAnsi="Times New Roman" w:cs="Times New Roman"/>
              </w:rPr>
              <w:t>12 854</w:t>
            </w:r>
          </w:p>
        </w:tc>
      </w:tr>
      <w:tr w:rsidR="00442AD0" w14:paraId="13D38B15" w14:textId="77777777">
        <w:tc>
          <w:tcPr>
            <w:tcW w:w="1274" w:type="dxa"/>
            <w:tcBorders>
              <w:left w:val="single" w:sz="4" w:space="0" w:color="000000"/>
              <w:bottom w:val="single" w:sz="4" w:space="0" w:color="000000"/>
            </w:tcBorders>
            <w:vAlign w:val="center"/>
          </w:tcPr>
          <w:p w14:paraId="60C24D29"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5" w:name="tw-target-text15"/>
            <w:bookmarkEnd w:id="5"/>
            <w:r>
              <w:rPr>
                <w:rFonts w:ascii="Times New Roman" w:eastAsia="Songti SC" w:hAnsi="Times New Roman" w:cs="Times New Roman"/>
                <w:kern w:val="2"/>
                <w:sz w:val="24"/>
                <w:szCs w:val="24"/>
                <w:lang w:eastAsia="zh-CN" w:bidi="hi-IN"/>
              </w:rPr>
              <w:t>Cambodia</w:t>
            </w:r>
          </w:p>
        </w:tc>
        <w:tc>
          <w:tcPr>
            <w:tcW w:w="1613" w:type="dxa"/>
            <w:tcBorders>
              <w:left w:val="single" w:sz="4" w:space="0" w:color="000000"/>
              <w:bottom w:val="single" w:sz="4" w:space="0" w:color="000000"/>
            </w:tcBorders>
            <w:vAlign w:val="center"/>
          </w:tcPr>
          <w:p w14:paraId="19171A47" w14:textId="77777777" w:rsidR="00442AD0" w:rsidRDefault="00714119">
            <w:pPr>
              <w:pStyle w:val="TableContents"/>
              <w:jc w:val="center"/>
              <w:rPr>
                <w:rFonts w:ascii="Times New Roman" w:hAnsi="Times New Roman" w:cs="Times New Roman"/>
              </w:rPr>
            </w:pPr>
            <w:r>
              <w:rPr>
                <w:rFonts w:ascii="Times New Roman" w:hAnsi="Times New Roman" w:cs="Times New Roman"/>
              </w:rPr>
              <w:t>0,962369</w:t>
            </w:r>
          </w:p>
        </w:tc>
        <w:tc>
          <w:tcPr>
            <w:tcW w:w="1508" w:type="dxa"/>
            <w:tcBorders>
              <w:left w:val="single" w:sz="4" w:space="0" w:color="000000"/>
              <w:bottom w:val="single" w:sz="4" w:space="0" w:color="000000"/>
              <w:right w:val="single" w:sz="4" w:space="0" w:color="000000"/>
            </w:tcBorders>
            <w:vAlign w:val="center"/>
          </w:tcPr>
          <w:p w14:paraId="2657DD5A" w14:textId="77777777" w:rsidR="00442AD0" w:rsidRDefault="00714119">
            <w:pPr>
              <w:pStyle w:val="TableContents"/>
              <w:jc w:val="center"/>
              <w:rPr>
                <w:rFonts w:ascii="Times New Roman" w:hAnsi="Times New Roman" w:cs="Times New Roman"/>
              </w:rPr>
            </w:pPr>
            <w:r>
              <w:rPr>
                <w:rFonts w:ascii="Times New Roman" w:hAnsi="Times New Roman" w:cs="Times New Roman"/>
              </w:rPr>
              <w:t>4 389</w:t>
            </w:r>
          </w:p>
        </w:tc>
      </w:tr>
      <w:tr w:rsidR="00442AD0" w14:paraId="716400CF" w14:textId="77777777">
        <w:tc>
          <w:tcPr>
            <w:tcW w:w="1274" w:type="dxa"/>
            <w:tcBorders>
              <w:left w:val="single" w:sz="4" w:space="0" w:color="000000"/>
              <w:bottom w:val="single" w:sz="4" w:space="0" w:color="000000"/>
            </w:tcBorders>
            <w:vAlign w:val="center"/>
          </w:tcPr>
          <w:p w14:paraId="358B5FC0"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6" w:name="tw-target-text16"/>
            <w:bookmarkEnd w:id="6"/>
            <w:r>
              <w:rPr>
                <w:rFonts w:ascii="Times New Roman" w:eastAsia="Songti SC" w:hAnsi="Times New Roman" w:cs="Times New Roman"/>
                <w:kern w:val="2"/>
                <w:sz w:val="24"/>
                <w:szCs w:val="24"/>
                <w:lang w:eastAsia="zh-CN" w:bidi="hi-IN"/>
              </w:rPr>
              <w:t>Turkey</w:t>
            </w:r>
          </w:p>
        </w:tc>
        <w:tc>
          <w:tcPr>
            <w:tcW w:w="1613" w:type="dxa"/>
            <w:tcBorders>
              <w:left w:val="single" w:sz="4" w:space="0" w:color="000000"/>
              <w:bottom w:val="single" w:sz="4" w:space="0" w:color="000000"/>
            </w:tcBorders>
            <w:vAlign w:val="center"/>
          </w:tcPr>
          <w:p w14:paraId="3EE5084A" w14:textId="77777777" w:rsidR="00442AD0" w:rsidRDefault="00714119">
            <w:pPr>
              <w:pStyle w:val="TableContents"/>
              <w:jc w:val="center"/>
              <w:rPr>
                <w:rFonts w:ascii="Times New Roman" w:hAnsi="Times New Roman" w:cs="Times New Roman"/>
              </w:rPr>
            </w:pPr>
            <w:r>
              <w:rPr>
                <w:rFonts w:ascii="Times New Roman" w:hAnsi="Times New Roman" w:cs="Times New Roman"/>
              </w:rPr>
              <w:t>0.963198</w:t>
            </w:r>
          </w:p>
        </w:tc>
        <w:tc>
          <w:tcPr>
            <w:tcW w:w="1508" w:type="dxa"/>
            <w:tcBorders>
              <w:left w:val="single" w:sz="4" w:space="0" w:color="000000"/>
              <w:bottom w:val="single" w:sz="4" w:space="0" w:color="000000"/>
              <w:right w:val="single" w:sz="4" w:space="0" w:color="000000"/>
            </w:tcBorders>
            <w:vAlign w:val="center"/>
          </w:tcPr>
          <w:p w14:paraId="737BD9EB" w14:textId="77777777" w:rsidR="00442AD0" w:rsidRDefault="00714119">
            <w:pPr>
              <w:pStyle w:val="TableContents"/>
              <w:jc w:val="center"/>
              <w:rPr>
                <w:rFonts w:ascii="Times New Roman" w:hAnsi="Times New Roman" w:cs="Times New Roman"/>
              </w:rPr>
            </w:pPr>
            <w:r>
              <w:rPr>
                <w:rFonts w:ascii="Times New Roman" w:hAnsi="Times New Roman" w:cs="Times New Roman"/>
              </w:rPr>
              <w:t>28 385</w:t>
            </w:r>
          </w:p>
        </w:tc>
      </w:tr>
      <w:tr w:rsidR="00442AD0" w14:paraId="7C2CAD12" w14:textId="77777777">
        <w:tc>
          <w:tcPr>
            <w:tcW w:w="1274" w:type="dxa"/>
            <w:tcBorders>
              <w:left w:val="single" w:sz="4" w:space="0" w:color="000000"/>
              <w:bottom w:val="single" w:sz="4" w:space="0" w:color="000000"/>
            </w:tcBorders>
            <w:vAlign w:val="center"/>
          </w:tcPr>
          <w:p w14:paraId="247FE988"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7" w:name="tw-target-text17"/>
            <w:bookmarkEnd w:id="7"/>
            <w:r>
              <w:rPr>
                <w:rFonts w:ascii="Times New Roman" w:eastAsia="Songti SC" w:hAnsi="Times New Roman" w:cs="Times New Roman"/>
                <w:kern w:val="2"/>
                <w:sz w:val="24"/>
                <w:szCs w:val="24"/>
                <w:lang w:eastAsia="zh-CN" w:bidi="hi-IN"/>
              </w:rPr>
              <w:t>Kyrgyzstan</w:t>
            </w:r>
          </w:p>
        </w:tc>
        <w:tc>
          <w:tcPr>
            <w:tcW w:w="1613" w:type="dxa"/>
            <w:tcBorders>
              <w:left w:val="single" w:sz="4" w:space="0" w:color="000000"/>
              <w:bottom w:val="single" w:sz="4" w:space="0" w:color="000000"/>
            </w:tcBorders>
            <w:vAlign w:val="center"/>
          </w:tcPr>
          <w:p w14:paraId="5A2EC246" w14:textId="77777777" w:rsidR="00442AD0" w:rsidRDefault="00714119">
            <w:pPr>
              <w:pStyle w:val="TableContents"/>
              <w:jc w:val="center"/>
              <w:rPr>
                <w:rFonts w:ascii="Times New Roman" w:hAnsi="Times New Roman" w:cs="Times New Roman"/>
              </w:rPr>
            </w:pPr>
            <w:r>
              <w:rPr>
                <w:rFonts w:ascii="Times New Roman" w:hAnsi="Times New Roman" w:cs="Times New Roman"/>
              </w:rPr>
              <w:t>0,971727</w:t>
            </w:r>
          </w:p>
        </w:tc>
        <w:tc>
          <w:tcPr>
            <w:tcW w:w="1508" w:type="dxa"/>
            <w:tcBorders>
              <w:left w:val="single" w:sz="4" w:space="0" w:color="000000"/>
              <w:bottom w:val="single" w:sz="4" w:space="0" w:color="000000"/>
              <w:right w:val="single" w:sz="4" w:space="0" w:color="000000"/>
            </w:tcBorders>
            <w:vAlign w:val="center"/>
          </w:tcPr>
          <w:p w14:paraId="4EDFD64A" w14:textId="77777777" w:rsidR="00442AD0" w:rsidRDefault="00714119">
            <w:pPr>
              <w:pStyle w:val="TableContents"/>
              <w:jc w:val="center"/>
              <w:rPr>
                <w:rFonts w:ascii="Times New Roman" w:hAnsi="Times New Roman" w:cs="Times New Roman"/>
              </w:rPr>
            </w:pPr>
            <w:r>
              <w:rPr>
                <w:rFonts w:ascii="Times New Roman" w:hAnsi="Times New Roman" w:cs="Times New Roman"/>
              </w:rPr>
              <w:t>5 258</w:t>
            </w:r>
          </w:p>
        </w:tc>
      </w:tr>
      <w:tr w:rsidR="00442AD0" w14:paraId="74E8E09D" w14:textId="77777777">
        <w:tc>
          <w:tcPr>
            <w:tcW w:w="1274" w:type="dxa"/>
            <w:tcBorders>
              <w:left w:val="single" w:sz="4" w:space="0" w:color="000000"/>
              <w:bottom w:val="single" w:sz="4" w:space="0" w:color="000000"/>
            </w:tcBorders>
            <w:vAlign w:val="center"/>
          </w:tcPr>
          <w:p w14:paraId="58F883B9"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proofErr w:type="spellStart"/>
            <w:proofErr w:type="gramStart"/>
            <w:r>
              <w:rPr>
                <w:rFonts w:ascii="Times New Roman" w:eastAsia="Songti SC" w:hAnsi="Times New Roman" w:cs="Times New Roman"/>
                <w:kern w:val="2"/>
                <w:sz w:val="24"/>
                <w:szCs w:val="24"/>
                <w:lang w:eastAsia="zh-CN" w:bidi="hi-IN"/>
              </w:rPr>
              <w:t>S.Korea</w:t>
            </w:r>
            <w:proofErr w:type="spellEnd"/>
            <w:proofErr w:type="gramEnd"/>
          </w:p>
        </w:tc>
        <w:tc>
          <w:tcPr>
            <w:tcW w:w="1613" w:type="dxa"/>
            <w:tcBorders>
              <w:left w:val="single" w:sz="4" w:space="0" w:color="000000"/>
              <w:bottom w:val="single" w:sz="4" w:space="0" w:color="000000"/>
            </w:tcBorders>
            <w:vAlign w:val="center"/>
          </w:tcPr>
          <w:p w14:paraId="50E23788" w14:textId="77777777" w:rsidR="00442AD0" w:rsidRDefault="00714119">
            <w:pPr>
              <w:pStyle w:val="TableContents"/>
              <w:jc w:val="center"/>
              <w:rPr>
                <w:rFonts w:ascii="Times New Roman" w:hAnsi="Times New Roman" w:cs="Times New Roman"/>
              </w:rPr>
            </w:pPr>
            <w:r>
              <w:rPr>
                <w:rFonts w:ascii="Times New Roman" w:hAnsi="Times New Roman" w:cs="Times New Roman"/>
              </w:rPr>
              <w:t>0,974348</w:t>
            </w:r>
          </w:p>
        </w:tc>
        <w:tc>
          <w:tcPr>
            <w:tcW w:w="1508" w:type="dxa"/>
            <w:tcBorders>
              <w:left w:val="single" w:sz="4" w:space="0" w:color="000000"/>
              <w:bottom w:val="single" w:sz="4" w:space="0" w:color="000000"/>
              <w:right w:val="single" w:sz="4" w:space="0" w:color="000000"/>
            </w:tcBorders>
            <w:vAlign w:val="center"/>
          </w:tcPr>
          <w:p w14:paraId="117948C1" w14:textId="77777777" w:rsidR="00442AD0" w:rsidRDefault="00714119">
            <w:pPr>
              <w:pStyle w:val="TableContents"/>
              <w:jc w:val="center"/>
              <w:rPr>
                <w:rFonts w:ascii="Times New Roman" w:hAnsi="Times New Roman" w:cs="Times New Roman"/>
              </w:rPr>
            </w:pPr>
            <w:r>
              <w:rPr>
                <w:rFonts w:ascii="Times New Roman" w:hAnsi="Times New Roman" w:cs="Times New Roman"/>
              </w:rPr>
              <w:t>42 719</w:t>
            </w:r>
          </w:p>
        </w:tc>
      </w:tr>
      <w:tr w:rsidR="00442AD0" w14:paraId="46E5FF38" w14:textId="77777777">
        <w:tc>
          <w:tcPr>
            <w:tcW w:w="1274" w:type="dxa"/>
            <w:tcBorders>
              <w:left w:val="single" w:sz="4" w:space="0" w:color="000000"/>
              <w:bottom w:val="single" w:sz="4" w:space="0" w:color="000000"/>
            </w:tcBorders>
            <w:vAlign w:val="center"/>
          </w:tcPr>
          <w:p w14:paraId="24FDD256"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8" w:name="tw-target-text19"/>
            <w:bookmarkEnd w:id="8"/>
            <w:r>
              <w:rPr>
                <w:rFonts w:ascii="Times New Roman" w:eastAsia="Songti SC" w:hAnsi="Times New Roman" w:cs="Times New Roman"/>
                <w:kern w:val="2"/>
                <w:sz w:val="24"/>
                <w:szCs w:val="24"/>
                <w:lang w:eastAsia="zh-CN" w:bidi="hi-IN"/>
              </w:rPr>
              <w:t>India</w:t>
            </w:r>
          </w:p>
        </w:tc>
        <w:tc>
          <w:tcPr>
            <w:tcW w:w="1613" w:type="dxa"/>
            <w:tcBorders>
              <w:left w:val="single" w:sz="4" w:space="0" w:color="000000"/>
              <w:bottom w:val="single" w:sz="4" w:space="0" w:color="000000"/>
            </w:tcBorders>
            <w:vAlign w:val="center"/>
          </w:tcPr>
          <w:p w14:paraId="387AE4EA" w14:textId="77777777" w:rsidR="00442AD0" w:rsidRDefault="00714119">
            <w:pPr>
              <w:pStyle w:val="TableContents"/>
              <w:jc w:val="center"/>
              <w:rPr>
                <w:rFonts w:ascii="Times New Roman" w:hAnsi="Times New Roman" w:cs="Times New Roman"/>
              </w:rPr>
            </w:pPr>
            <w:r>
              <w:rPr>
                <w:rFonts w:ascii="Times New Roman" w:hAnsi="Times New Roman" w:cs="Times New Roman"/>
              </w:rPr>
              <w:t>0,983017</w:t>
            </w:r>
          </w:p>
        </w:tc>
        <w:tc>
          <w:tcPr>
            <w:tcW w:w="1508" w:type="dxa"/>
            <w:tcBorders>
              <w:left w:val="single" w:sz="4" w:space="0" w:color="000000"/>
              <w:bottom w:val="single" w:sz="4" w:space="0" w:color="000000"/>
              <w:right w:val="single" w:sz="4" w:space="0" w:color="000000"/>
            </w:tcBorders>
            <w:vAlign w:val="center"/>
          </w:tcPr>
          <w:p w14:paraId="5DACBD46" w14:textId="77777777" w:rsidR="00442AD0" w:rsidRDefault="00714119">
            <w:pPr>
              <w:pStyle w:val="TableContents"/>
              <w:jc w:val="center"/>
              <w:rPr>
                <w:rFonts w:ascii="Times New Roman" w:hAnsi="Times New Roman" w:cs="Times New Roman"/>
              </w:rPr>
            </w:pPr>
            <w:r>
              <w:rPr>
                <w:rFonts w:ascii="Times New Roman" w:hAnsi="Times New Roman" w:cs="Times New Roman"/>
              </w:rPr>
              <w:t>6 717</w:t>
            </w:r>
          </w:p>
        </w:tc>
      </w:tr>
      <w:tr w:rsidR="00442AD0" w14:paraId="528A8E54" w14:textId="77777777">
        <w:trPr>
          <w:trHeight w:val="364"/>
        </w:trPr>
        <w:tc>
          <w:tcPr>
            <w:tcW w:w="1274" w:type="dxa"/>
            <w:tcBorders>
              <w:left w:val="single" w:sz="4" w:space="0" w:color="000000"/>
              <w:bottom w:val="single" w:sz="4" w:space="0" w:color="000000"/>
            </w:tcBorders>
            <w:vAlign w:val="center"/>
          </w:tcPr>
          <w:p w14:paraId="007CEA8E"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9" w:name="tw-target-text20"/>
            <w:bookmarkEnd w:id="9"/>
            <w:r>
              <w:rPr>
                <w:rFonts w:ascii="Times New Roman" w:eastAsia="Songti SC" w:hAnsi="Times New Roman" w:cs="Times New Roman"/>
                <w:kern w:val="2"/>
                <w:sz w:val="24"/>
                <w:szCs w:val="24"/>
                <w:lang w:eastAsia="zh-CN" w:bidi="hi-IN"/>
              </w:rPr>
              <w:t>China</w:t>
            </w:r>
          </w:p>
        </w:tc>
        <w:tc>
          <w:tcPr>
            <w:tcW w:w="1613" w:type="dxa"/>
            <w:tcBorders>
              <w:left w:val="single" w:sz="4" w:space="0" w:color="000000"/>
              <w:bottom w:val="single" w:sz="4" w:space="0" w:color="000000"/>
            </w:tcBorders>
            <w:vAlign w:val="center"/>
          </w:tcPr>
          <w:p w14:paraId="533EE994" w14:textId="77777777" w:rsidR="00442AD0" w:rsidRDefault="00714119">
            <w:pPr>
              <w:pStyle w:val="TableContents"/>
              <w:jc w:val="center"/>
              <w:rPr>
                <w:rFonts w:ascii="Times New Roman" w:hAnsi="Times New Roman" w:cs="Times New Roman"/>
              </w:rPr>
            </w:pPr>
            <w:r>
              <w:rPr>
                <w:rFonts w:ascii="Times New Roman" w:hAnsi="Times New Roman" w:cs="Times New Roman"/>
              </w:rPr>
              <w:t>0,992802</w:t>
            </w:r>
          </w:p>
        </w:tc>
        <w:tc>
          <w:tcPr>
            <w:tcW w:w="1508" w:type="dxa"/>
            <w:tcBorders>
              <w:left w:val="single" w:sz="4" w:space="0" w:color="000000"/>
              <w:bottom w:val="single" w:sz="4" w:space="0" w:color="000000"/>
              <w:right w:val="single" w:sz="4" w:space="0" w:color="000000"/>
            </w:tcBorders>
            <w:vAlign w:val="center"/>
          </w:tcPr>
          <w:p w14:paraId="2F93C21D" w14:textId="77777777" w:rsidR="00442AD0" w:rsidRDefault="00714119">
            <w:pPr>
              <w:pStyle w:val="TableContents"/>
              <w:jc w:val="center"/>
              <w:rPr>
                <w:rFonts w:ascii="Times New Roman" w:hAnsi="Times New Roman" w:cs="Times New Roman"/>
              </w:rPr>
            </w:pPr>
            <w:r>
              <w:rPr>
                <w:rFonts w:ascii="Times New Roman" w:hAnsi="Times New Roman" w:cs="Times New Roman"/>
              </w:rPr>
              <w:t>16 411</w:t>
            </w:r>
          </w:p>
        </w:tc>
      </w:tr>
      <w:tr w:rsidR="00442AD0" w14:paraId="28F44E1B" w14:textId="77777777">
        <w:trPr>
          <w:trHeight w:val="364"/>
        </w:trPr>
        <w:tc>
          <w:tcPr>
            <w:tcW w:w="1274" w:type="dxa"/>
            <w:tcBorders>
              <w:left w:val="single" w:sz="4" w:space="0" w:color="000000"/>
              <w:bottom w:val="single" w:sz="4" w:space="0" w:color="000000"/>
            </w:tcBorders>
            <w:vAlign w:val="center"/>
          </w:tcPr>
          <w:p w14:paraId="28830469"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10" w:name="tw-target-text21"/>
            <w:bookmarkEnd w:id="10"/>
            <w:r>
              <w:rPr>
                <w:rFonts w:ascii="Times New Roman" w:eastAsia="Songti SC" w:hAnsi="Times New Roman" w:cs="Times New Roman"/>
                <w:kern w:val="2"/>
                <w:sz w:val="24"/>
                <w:szCs w:val="24"/>
                <w:lang w:eastAsia="zh-CN" w:bidi="hi-IN"/>
              </w:rPr>
              <w:t>USA</w:t>
            </w:r>
          </w:p>
        </w:tc>
        <w:tc>
          <w:tcPr>
            <w:tcW w:w="1613" w:type="dxa"/>
            <w:tcBorders>
              <w:left w:val="single" w:sz="4" w:space="0" w:color="000000"/>
              <w:bottom w:val="single" w:sz="4" w:space="0" w:color="000000"/>
            </w:tcBorders>
            <w:vAlign w:val="center"/>
          </w:tcPr>
          <w:p w14:paraId="454CE618" w14:textId="77777777" w:rsidR="00442AD0" w:rsidRDefault="00714119">
            <w:pPr>
              <w:pStyle w:val="TableContents"/>
              <w:jc w:val="center"/>
              <w:rPr>
                <w:rFonts w:ascii="Times New Roman" w:hAnsi="Times New Roman" w:cs="Times New Roman"/>
                <w:color w:val="000000"/>
              </w:rPr>
            </w:pPr>
            <w:r>
              <w:rPr>
                <w:rFonts w:ascii="Times New Roman" w:hAnsi="Times New Roman" w:cs="Times New Roman"/>
                <w:color w:val="000000"/>
              </w:rPr>
              <w:t>0,869843</w:t>
            </w:r>
          </w:p>
        </w:tc>
        <w:tc>
          <w:tcPr>
            <w:tcW w:w="1508" w:type="dxa"/>
            <w:tcBorders>
              <w:left w:val="single" w:sz="4" w:space="0" w:color="000000"/>
              <w:bottom w:val="single" w:sz="4" w:space="0" w:color="000000"/>
              <w:right w:val="single" w:sz="4" w:space="0" w:color="000000"/>
            </w:tcBorders>
          </w:tcPr>
          <w:p w14:paraId="3223F82B" w14:textId="77777777" w:rsidR="00442AD0" w:rsidRDefault="00714119">
            <w:pPr>
              <w:pStyle w:val="TableContents"/>
              <w:jc w:val="center"/>
              <w:rPr>
                <w:rFonts w:ascii="Times New Roman" w:hAnsi="Times New Roman" w:cs="Times New Roman"/>
              </w:rPr>
            </w:pPr>
            <w:r>
              <w:rPr>
                <w:rFonts w:ascii="Times New Roman" w:hAnsi="Times New Roman" w:cs="Times New Roman"/>
              </w:rPr>
              <w:t>60 162</w:t>
            </w:r>
          </w:p>
        </w:tc>
      </w:tr>
      <w:tr w:rsidR="00442AD0" w14:paraId="3C8E37DF" w14:textId="77777777">
        <w:trPr>
          <w:trHeight w:val="364"/>
        </w:trPr>
        <w:tc>
          <w:tcPr>
            <w:tcW w:w="1274" w:type="dxa"/>
            <w:tcBorders>
              <w:left w:val="single" w:sz="4" w:space="0" w:color="000000"/>
              <w:bottom w:val="single" w:sz="4" w:space="0" w:color="000000"/>
            </w:tcBorders>
            <w:vAlign w:val="center"/>
          </w:tcPr>
          <w:p w14:paraId="3F653C66" w14:textId="77777777" w:rsidR="00442AD0" w:rsidRDefault="00714119">
            <w:pPr>
              <w:pStyle w:val="TableContents"/>
              <w:jc w:val="both"/>
              <w:rPr>
                <w:rFonts w:ascii="Times New Roman" w:hAnsi="Times New Roman" w:cs="Times New Roman"/>
                <w:color w:val="000000"/>
              </w:rPr>
            </w:pPr>
            <w:r>
              <w:rPr>
                <w:rFonts w:ascii="Times New Roman" w:hAnsi="Times New Roman" w:cs="Times New Roman"/>
                <w:color w:val="000000"/>
              </w:rPr>
              <w:t>UK</w:t>
            </w:r>
          </w:p>
        </w:tc>
        <w:tc>
          <w:tcPr>
            <w:tcW w:w="1613" w:type="dxa"/>
            <w:tcBorders>
              <w:left w:val="single" w:sz="4" w:space="0" w:color="000000"/>
              <w:bottom w:val="single" w:sz="4" w:space="0" w:color="000000"/>
            </w:tcBorders>
            <w:vAlign w:val="center"/>
          </w:tcPr>
          <w:p w14:paraId="29CADFAF" w14:textId="77777777" w:rsidR="00442AD0" w:rsidRDefault="00714119">
            <w:pPr>
              <w:pStyle w:val="TableContents"/>
              <w:jc w:val="center"/>
              <w:rPr>
                <w:rFonts w:ascii="Times New Roman" w:hAnsi="Times New Roman" w:cs="Times New Roman"/>
                <w:color w:val="000000"/>
              </w:rPr>
            </w:pPr>
            <w:r>
              <w:rPr>
                <w:rFonts w:ascii="Times New Roman" w:hAnsi="Times New Roman" w:cs="Times New Roman"/>
                <w:color w:val="000000"/>
              </w:rPr>
              <w:t>0,835022</w:t>
            </w:r>
          </w:p>
        </w:tc>
        <w:tc>
          <w:tcPr>
            <w:tcW w:w="1508" w:type="dxa"/>
            <w:tcBorders>
              <w:left w:val="single" w:sz="4" w:space="0" w:color="000000"/>
              <w:bottom w:val="single" w:sz="4" w:space="0" w:color="000000"/>
              <w:right w:val="single" w:sz="4" w:space="0" w:color="000000"/>
            </w:tcBorders>
          </w:tcPr>
          <w:p w14:paraId="66F4131D" w14:textId="77777777" w:rsidR="00442AD0" w:rsidRDefault="00714119">
            <w:pPr>
              <w:pStyle w:val="TableContents"/>
              <w:jc w:val="center"/>
              <w:rPr>
                <w:rFonts w:ascii="Times New Roman" w:hAnsi="Times New Roman" w:cs="Times New Roman"/>
              </w:rPr>
            </w:pPr>
            <w:r>
              <w:rPr>
                <w:rFonts w:ascii="Times New Roman" w:hAnsi="Times New Roman" w:cs="Times New Roman"/>
              </w:rPr>
              <w:t>41 627</w:t>
            </w:r>
          </w:p>
        </w:tc>
      </w:tr>
    </w:tbl>
    <w:p w14:paraId="370234E9" w14:textId="77777777" w:rsidR="00442AD0" w:rsidRDefault="00442AD0">
      <w:pPr>
        <w:ind w:firstLine="709"/>
        <w:jc w:val="both"/>
        <w:rPr>
          <w:rFonts w:ascii="Times New Roman" w:hAnsi="Times New Roman" w:cs="Times New Roman"/>
          <w:sz w:val="28"/>
          <w:szCs w:val="28"/>
        </w:rPr>
      </w:pPr>
    </w:p>
    <w:p w14:paraId="2C82D62F" w14:textId="5807D6D9" w:rsidR="00CF155F" w:rsidRDefault="00714119" w:rsidP="00F47E58">
      <w:pPr>
        <w:spacing w:line="276" w:lineRule="auto"/>
        <w:jc w:val="both"/>
        <w:rPr>
          <w:rFonts w:ascii="Times New Roman" w:hAnsi="Times New Roman" w:cs="Times New Roman"/>
          <w:color w:val="0E101A"/>
          <w:sz w:val="28"/>
          <w:szCs w:val="28"/>
        </w:rPr>
      </w:pPr>
      <w:r>
        <w:rPr>
          <w:rFonts w:ascii="Times New Roman" w:hAnsi="Times New Roman" w:cs="Times New Roman"/>
          <w:sz w:val="28"/>
          <w:szCs w:val="28"/>
        </w:rPr>
        <w:tab/>
      </w:r>
      <w:r w:rsidR="00CF155F">
        <w:rPr>
          <w:rFonts w:ascii="Times New Roman" w:hAnsi="Times New Roman" w:cs="Times New Roman"/>
          <w:color w:val="0E101A"/>
          <w:sz w:val="28"/>
          <w:szCs w:val="28"/>
        </w:rPr>
        <w:t xml:space="preserve">The list turned out to be quite heterogeneous. In addition to India, China, the United States, and </w:t>
      </w:r>
      <w:r w:rsidR="007E78CF">
        <w:rPr>
          <w:rFonts w:ascii="Times New Roman" w:hAnsi="Times New Roman" w:cs="Times New Roman"/>
          <w:color w:val="0E101A"/>
          <w:sz w:val="28"/>
          <w:szCs w:val="28"/>
        </w:rPr>
        <w:t>the UK</w:t>
      </w:r>
      <w:r w:rsidR="00CF155F">
        <w:rPr>
          <w:rFonts w:ascii="Times New Roman" w:hAnsi="Times New Roman" w:cs="Times New Roman"/>
          <w:color w:val="0E101A"/>
          <w:sz w:val="28"/>
          <w:szCs w:val="28"/>
        </w:rPr>
        <w:t xml:space="preserve">, it includes some countries from a completely different division, like Peru and Cambodia. However, 71% of all investigated countries showed a significant relationship between broad money and gross investment. The histogram of Pearson correlation coefficients (Fig. 4) indicates that most countries naturally fall into </w:t>
      </w:r>
      <w:r w:rsidR="00CF155F">
        <w:rPr>
          <w:rFonts w:ascii="Times New Roman" w:hAnsi="Times New Roman" w:cs="Times New Roman"/>
          <w:color w:val="0E101A"/>
          <w:sz w:val="28"/>
          <w:szCs w:val="28"/>
        </w:rPr>
        <w:lastRenderedPageBreak/>
        <w:t xml:space="preserve">the "core", that is, a group with the highest degree of correlation. And if the observation of time series for individual countries itself only displays a probable similarity in M3 and gross investment tendencies (Fig. 5), then regression analysis proves the existence of a significant relationship between them. </w:t>
      </w:r>
    </w:p>
    <w:p w14:paraId="313A3D01" w14:textId="03E9698C" w:rsidR="00442AD0" w:rsidRPr="00CF155F" w:rsidRDefault="00714119" w:rsidP="00CF155F">
      <w:pPr>
        <w:spacing w:line="276" w:lineRule="auto"/>
        <w:ind w:firstLine="708"/>
        <w:jc w:val="both"/>
        <w:rPr>
          <w:rFonts w:ascii="Times New Roman" w:hAnsi="Times New Roman" w:cs="Times New Roman"/>
          <w:color w:val="0E101A"/>
          <w:sz w:val="28"/>
          <w:szCs w:val="28"/>
        </w:rPr>
      </w:pPr>
      <w:r>
        <w:rPr>
          <w:rFonts w:ascii="Times New Roman" w:hAnsi="Times New Roman" w:cs="Times New Roman"/>
          <w:sz w:val="28"/>
          <w:szCs w:val="28"/>
        </w:rPr>
        <w:t>The Turkey example below illustrates this relationship, including the linear regression equation shown in Fig. 6, (the coefficient of determination equals 71%). This judgment applies equally to all countries that have passed the determined threshold of 65% for the Pearson correlation coefficient. Thus, the relationship between the two factors is proven.</w:t>
      </w:r>
    </w:p>
    <w:p w14:paraId="05A2F893" w14:textId="77777777" w:rsidR="00B94EC9" w:rsidRPr="00B94EC9" w:rsidRDefault="00B94EC9" w:rsidP="00F47E58">
      <w:pPr>
        <w:spacing w:line="276" w:lineRule="auto"/>
        <w:jc w:val="both"/>
        <w:rPr>
          <w:rFonts w:ascii="Times New Roman" w:hAnsi="Times New Roman" w:cs="Times New Roman"/>
          <w:sz w:val="28"/>
          <w:szCs w:val="28"/>
        </w:rPr>
      </w:pPr>
    </w:p>
    <w:p w14:paraId="22430D42" w14:textId="77777777" w:rsidR="00442AD0" w:rsidRDefault="00714119">
      <w:pPr>
        <w:jc w:val="both"/>
      </w:pPr>
      <w:r>
        <w:rPr>
          <w:noProof/>
        </w:rPr>
        <w:drawing>
          <wp:anchor distT="0" distB="0" distL="0" distR="0" simplePos="0" relativeHeight="10" behindDoc="0" locked="0" layoutInCell="0" allowOverlap="1" wp14:anchorId="3E5EB325" wp14:editId="520B5D72">
            <wp:simplePos x="0" y="0"/>
            <wp:positionH relativeFrom="column">
              <wp:posOffset>-121920</wp:posOffset>
            </wp:positionH>
            <wp:positionV relativeFrom="paragraph">
              <wp:posOffset>85090</wp:posOffset>
            </wp:positionV>
            <wp:extent cx="3096260" cy="2451735"/>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4"/>
                    <a:srcRect l="3923" b="6383"/>
                    <a:stretch>
                      <a:fillRect/>
                    </a:stretch>
                  </pic:blipFill>
                  <pic:spPr bwMode="auto">
                    <a:xfrm>
                      <a:off x="0" y="0"/>
                      <a:ext cx="3096260" cy="2451735"/>
                    </a:xfrm>
                    <a:prstGeom prst="rect">
                      <a:avLst/>
                    </a:prstGeom>
                  </pic:spPr>
                </pic:pic>
              </a:graphicData>
            </a:graphic>
          </wp:anchor>
        </w:drawing>
      </w:r>
      <w:r>
        <w:rPr>
          <w:noProof/>
        </w:rPr>
        <w:drawing>
          <wp:anchor distT="0" distB="0" distL="0" distR="0" simplePos="0" relativeHeight="11" behindDoc="0" locked="0" layoutInCell="0" allowOverlap="1" wp14:anchorId="190CB170" wp14:editId="16FFD30E">
            <wp:simplePos x="0" y="0"/>
            <wp:positionH relativeFrom="column">
              <wp:posOffset>2973705</wp:posOffset>
            </wp:positionH>
            <wp:positionV relativeFrom="paragraph">
              <wp:posOffset>85090</wp:posOffset>
            </wp:positionV>
            <wp:extent cx="3190875" cy="2555875"/>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5"/>
                    <a:srcRect b="2354"/>
                    <a:stretch>
                      <a:fillRect/>
                    </a:stretch>
                  </pic:blipFill>
                  <pic:spPr bwMode="auto">
                    <a:xfrm>
                      <a:off x="0" y="0"/>
                      <a:ext cx="3190875" cy="2555875"/>
                    </a:xfrm>
                    <a:prstGeom prst="rect">
                      <a:avLst/>
                    </a:prstGeom>
                  </pic:spPr>
                </pic:pic>
              </a:graphicData>
            </a:graphic>
          </wp:anchor>
        </w:drawing>
      </w:r>
    </w:p>
    <w:p w14:paraId="016051CE" w14:textId="77777777" w:rsidR="00442AD0" w:rsidRDefault="00442AD0">
      <w:pPr>
        <w:jc w:val="both"/>
      </w:pPr>
    </w:p>
    <w:tbl>
      <w:tblPr>
        <w:tblW w:w="9633" w:type="dxa"/>
        <w:tblLayout w:type="fixed"/>
        <w:tblCellMar>
          <w:top w:w="55" w:type="dxa"/>
          <w:left w:w="55" w:type="dxa"/>
          <w:bottom w:w="55" w:type="dxa"/>
          <w:right w:w="55" w:type="dxa"/>
        </w:tblCellMar>
        <w:tblLook w:val="04A0" w:firstRow="1" w:lastRow="0" w:firstColumn="1" w:lastColumn="0" w:noHBand="0" w:noVBand="1"/>
      </w:tblPr>
      <w:tblGrid>
        <w:gridCol w:w="4415"/>
        <w:gridCol w:w="5218"/>
      </w:tblGrid>
      <w:tr w:rsidR="00442AD0" w14:paraId="16E31CFB" w14:textId="77777777">
        <w:tc>
          <w:tcPr>
            <w:tcW w:w="4415" w:type="dxa"/>
          </w:tcPr>
          <w:p w14:paraId="672F017C" w14:textId="77777777" w:rsidR="00442AD0" w:rsidRDefault="00714119">
            <w:pPr>
              <w:widowControl w:val="0"/>
              <w:spacing w:line="0" w:lineRule="atLeast"/>
              <w:rPr>
                <w:rFonts w:ascii="Times New Roman" w:hAnsi="Times New Roman" w:cs="Times New Roman"/>
                <w:sz w:val="28"/>
                <w:szCs w:val="28"/>
              </w:rPr>
            </w:pPr>
            <w:r>
              <w:rPr>
                <w:rFonts w:ascii="Times New Roman" w:hAnsi="Times New Roman" w:cs="Times New Roman"/>
                <w:sz w:val="28"/>
                <w:szCs w:val="28"/>
              </w:rPr>
              <w:t>Figure 5.  Broad money and gross capital formation (Turkey)</w:t>
            </w:r>
          </w:p>
        </w:tc>
        <w:tc>
          <w:tcPr>
            <w:tcW w:w="5217" w:type="dxa"/>
          </w:tcPr>
          <w:p w14:paraId="1158CDFD" w14:textId="2A3F5455" w:rsidR="00442AD0" w:rsidRDefault="00B94EC9">
            <w:pPr>
              <w:pStyle w:val="FrameContents"/>
              <w:widowControl w:val="0"/>
              <w:spacing w:line="276" w:lineRule="auto"/>
            </w:pPr>
            <w:r>
              <w:rPr>
                <w:rFonts w:ascii="Times New Roman" w:eastAsia="Arial Unicode MS" w:hAnsi="Times New Roman" w:cs="Times New Roman"/>
                <w:color w:val="000000"/>
                <w:sz w:val="28"/>
                <w:szCs w:val="28"/>
                <w:lang w:eastAsia="uk-UA"/>
              </w:rPr>
              <w:t xml:space="preserve">       </w:t>
            </w:r>
            <w:r w:rsidR="00714119">
              <w:rPr>
                <w:rFonts w:ascii="Times New Roman" w:eastAsia="Arial Unicode MS" w:hAnsi="Times New Roman" w:cs="Times New Roman"/>
                <w:color w:val="000000"/>
                <w:sz w:val="28"/>
                <w:szCs w:val="28"/>
                <w:lang w:eastAsia="uk-UA"/>
              </w:rPr>
              <w:t>Figure 6. Regression analysis (Turkey)</w:t>
            </w:r>
          </w:p>
        </w:tc>
      </w:tr>
    </w:tbl>
    <w:p w14:paraId="21DB9A42" w14:textId="77777777" w:rsidR="00442AD0" w:rsidRDefault="00714119" w:rsidP="00376EB3">
      <w:pPr>
        <w:pStyle w:val="2"/>
        <w:ind w:left="708" w:firstLine="0"/>
      </w:pPr>
      <w:r>
        <w:br/>
        <w:t>Further analysis and discussion</w:t>
      </w:r>
    </w:p>
    <w:p w14:paraId="00B99DFD" w14:textId="2055C481" w:rsidR="00442AD0" w:rsidRDefault="00714119" w:rsidP="00F47E58">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It is believed that the influence of the money supply on investment and via investment on GDP depends significantly on the level of the country's economic development. </w:t>
      </w:r>
      <w:r w:rsidR="003A19F9">
        <w:rPr>
          <w:rFonts w:ascii="Times New Roman" w:hAnsi="Times New Roman" w:cs="Times New Roman"/>
          <w:sz w:val="28"/>
          <w:szCs w:val="28"/>
        </w:rPr>
        <w:t>In</w:t>
      </w:r>
      <w:r>
        <w:rPr>
          <w:rFonts w:ascii="Times New Roman" w:hAnsi="Times New Roman" w:cs="Times New Roman"/>
          <w:sz w:val="28"/>
          <w:szCs w:val="28"/>
        </w:rPr>
        <w:t xml:space="preserve"> less developed and poor countries, the expansion of the money supply can only cause excessive inflation and thus harm the GDP. Thus, the practicality of inflation targeting is supposed to be confirmed.</w:t>
      </w:r>
    </w:p>
    <w:p w14:paraId="6BEE9560" w14:textId="53B24999" w:rsidR="00442AD0" w:rsidRDefault="00714119" w:rsidP="00F47E58">
      <w:pPr>
        <w:spacing w:line="276" w:lineRule="auto"/>
        <w:jc w:val="both"/>
      </w:pPr>
      <w:r>
        <w:rPr>
          <w:rFonts w:ascii="Times New Roman" w:hAnsi="Times New Roman" w:cs="Times New Roman"/>
          <w:sz w:val="28"/>
          <w:szCs w:val="28"/>
        </w:rPr>
        <w:tab/>
        <w:t xml:space="preserve">To clarify this hypothesis, the next stage of the study was accomplished. The "nearest neighbors" were chosen as an analytical method </w:t>
      </w:r>
      <w:r w:rsidR="00CF155F">
        <w:rPr>
          <w:rFonts w:ascii="Times New Roman" w:hAnsi="Times New Roman" w:cs="Times New Roman"/>
          <w:sz w:val="28"/>
          <w:szCs w:val="28"/>
        </w:rPr>
        <w:t>(Hastie, 2017)</w:t>
      </w:r>
      <w:r>
        <w:rPr>
          <w:rFonts w:ascii="Times New Roman" w:hAnsi="Times New Roman" w:cs="Times New Roman"/>
          <w:sz w:val="28"/>
          <w:szCs w:val="28"/>
        </w:rPr>
        <w:t>. The classification of countries was carried out using it. As a result, the countries were separated in a two-dimensional feature space. Namely, per capita income (1) and the tightness (Pearson coefficient) of the relationship between broad money and gross capital formation (2). The outcomes of the classification are shown in Fig. 6.</w:t>
      </w:r>
    </w:p>
    <w:p w14:paraId="3AE572FF" w14:textId="5A1392E3" w:rsidR="00442AD0" w:rsidRDefault="00714119" w:rsidP="00F47E58">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The </w:t>
      </w:r>
      <w:r w:rsidR="007E78CF">
        <w:rPr>
          <w:rFonts w:ascii="Times New Roman" w:hAnsi="Times New Roman" w:cs="Times New Roman"/>
          <w:sz w:val="28"/>
          <w:szCs w:val="28"/>
        </w:rPr>
        <w:t>division</w:t>
      </w:r>
      <w:r>
        <w:rPr>
          <w:rFonts w:ascii="Times New Roman" w:hAnsi="Times New Roman" w:cs="Times New Roman"/>
          <w:sz w:val="28"/>
          <w:szCs w:val="28"/>
        </w:rPr>
        <w:t xml:space="preserve"> of countries into two groups was done with 91% accuracy. The fulfilled statistical analysis (together with </w:t>
      </w:r>
      <w:r w:rsidR="003A19F9">
        <w:rPr>
          <w:rFonts w:ascii="Times New Roman" w:hAnsi="Times New Roman" w:cs="Times New Roman"/>
          <w:sz w:val="28"/>
          <w:szCs w:val="28"/>
        </w:rPr>
        <w:t>inferences drawn</w:t>
      </w:r>
      <w:r>
        <w:rPr>
          <w:rFonts w:ascii="Times New Roman" w:hAnsi="Times New Roman" w:cs="Times New Roman"/>
          <w:sz w:val="28"/>
          <w:szCs w:val="28"/>
        </w:rPr>
        <w:t>) partly conflict</w:t>
      </w:r>
      <w:r w:rsidR="00857C6B">
        <w:rPr>
          <w:rFonts w:ascii="Times New Roman" w:hAnsi="Times New Roman" w:cs="Times New Roman"/>
          <w:sz w:val="28"/>
          <w:szCs w:val="28"/>
        </w:rPr>
        <w:t>s</w:t>
      </w:r>
      <w:r>
        <w:rPr>
          <w:rFonts w:ascii="Times New Roman" w:hAnsi="Times New Roman" w:cs="Times New Roman"/>
          <w:sz w:val="28"/>
          <w:szCs w:val="28"/>
        </w:rPr>
        <w:t xml:space="preserve"> with the opinions of the above-mentioned authors. As expected, countries with the highest GDP per capita ended up in a strongly correlated class (blue labels in Fig. 6).</w:t>
      </w:r>
    </w:p>
    <w:p w14:paraId="407F4176" w14:textId="77777777" w:rsidR="00442AD0" w:rsidRDefault="00442AD0">
      <w:pPr>
        <w:ind w:firstLine="709"/>
        <w:jc w:val="both"/>
        <w:rPr>
          <w:rFonts w:ascii="Times New Roman" w:hAnsi="Times New Roman" w:cs="Times New Roman"/>
          <w:sz w:val="28"/>
          <w:szCs w:val="28"/>
        </w:rPr>
      </w:pPr>
    </w:p>
    <w:p w14:paraId="6CFF1ECF" w14:textId="77777777" w:rsidR="00442AD0" w:rsidRDefault="00714119">
      <w:pPr>
        <w:ind w:firstLine="709"/>
        <w:jc w:val="both"/>
      </w:pPr>
      <w:r>
        <w:rPr>
          <w:noProof/>
        </w:rPr>
        <w:drawing>
          <wp:inline distT="0" distB="0" distL="0" distR="0" wp14:anchorId="6F5090DB" wp14:editId="00D21A6C">
            <wp:extent cx="4344035" cy="3237865"/>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6"/>
                    <a:stretch>
                      <a:fillRect/>
                    </a:stretch>
                  </pic:blipFill>
                  <pic:spPr bwMode="auto">
                    <a:xfrm>
                      <a:off x="0" y="0"/>
                      <a:ext cx="4344035" cy="3237865"/>
                    </a:xfrm>
                    <a:prstGeom prst="rect">
                      <a:avLst/>
                    </a:prstGeom>
                  </pic:spPr>
                </pic:pic>
              </a:graphicData>
            </a:graphic>
          </wp:inline>
        </w:drawing>
      </w:r>
    </w:p>
    <w:p w14:paraId="124DEE54" w14:textId="77777777" w:rsidR="00442AD0" w:rsidRDefault="00442AD0">
      <w:pPr>
        <w:jc w:val="center"/>
        <w:rPr>
          <w:rFonts w:ascii="Times New Roman" w:hAnsi="Times New Roman" w:cs="Times New Roman"/>
          <w:sz w:val="28"/>
          <w:szCs w:val="28"/>
        </w:rPr>
      </w:pPr>
    </w:p>
    <w:p w14:paraId="52BCBB32" w14:textId="77777777" w:rsidR="00442AD0" w:rsidRDefault="00714119">
      <w:pPr>
        <w:jc w:val="center"/>
        <w:rPr>
          <w:rFonts w:ascii="Times New Roman" w:hAnsi="Times New Roman" w:cs="Times New Roman"/>
          <w:sz w:val="28"/>
          <w:szCs w:val="28"/>
        </w:rPr>
      </w:pPr>
      <w:r>
        <w:rPr>
          <w:rFonts w:ascii="Times New Roman" w:hAnsi="Times New Roman" w:cs="Times New Roman"/>
          <w:sz w:val="28"/>
          <w:szCs w:val="28"/>
        </w:rPr>
        <w:t>Figure 6. “Nearest neighbors” classification</w:t>
      </w:r>
    </w:p>
    <w:p w14:paraId="2D664D39" w14:textId="77777777" w:rsidR="00442AD0" w:rsidRDefault="00442AD0">
      <w:pPr>
        <w:ind w:firstLine="709"/>
        <w:jc w:val="both"/>
        <w:rPr>
          <w:rFonts w:ascii="Times New Roman" w:hAnsi="Times New Roman" w:cs="Times New Roman"/>
          <w:sz w:val="28"/>
          <w:szCs w:val="28"/>
        </w:rPr>
      </w:pPr>
    </w:p>
    <w:p w14:paraId="0AA2B31D" w14:textId="6D228A58" w:rsidR="00CF155F" w:rsidRPr="00CF155F" w:rsidRDefault="00CF155F" w:rsidP="00CF155F">
      <w:pPr>
        <w:spacing w:line="276" w:lineRule="auto"/>
        <w:ind w:firstLine="709"/>
        <w:jc w:val="both"/>
      </w:pPr>
      <w:r>
        <w:rPr>
          <w:rFonts w:ascii="Times New Roman" w:hAnsi="Times New Roman" w:cs="Times New Roman"/>
          <w:sz w:val="28"/>
          <w:szCs w:val="28"/>
        </w:rPr>
        <w:t xml:space="preserve">However, </w:t>
      </w:r>
      <w:r w:rsidR="00857C6B">
        <w:rPr>
          <w:rFonts w:ascii="Times New Roman" w:hAnsi="Times New Roman" w:cs="Times New Roman"/>
          <w:sz w:val="28"/>
          <w:szCs w:val="28"/>
        </w:rPr>
        <w:t xml:space="preserve">most </w:t>
      </w:r>
      <w:r>
        <w:rPr>
          <w:rFonts w:ascii="Times New Roman" w:hAnsi="Times New Roman" w:cs="Times New Roman"/>
          <w:sz w:val="28"/>
          <w:szCs w:val="28"/>
        </w:rPr>
        <w:t xml:space="preserve">poor countries also </w:t>
      </w:r>
      <w:r w:rsidR="00857C6B">
        <w:rPr>
          <w:rFonts w:ascii="Times New Roman" w:hAnsi="Times New Roman" w:cs="Times New Roman"/>
          <w:sz w:val="28"/>
          <w:szCs w:val="28"/>
        </w:rPr>
        <w:t>belong</w:t>
      </w:r>
      <w:r>
        <w:rPr>
          <w:rFonts w:ascii="Times New Roman" w:hAnsi="Times New Roman" w:cs="Times New Roman"/>
          <w:sz w:val="28"/>
          <w:szCs w:val="28"/>
        </w:rPr>
        <w:t xml:space="preserve"> to that class. The figure shows them </w:t>
      </w:r>
      <w:r w:rsidR="008315AB">
        <w:rPr>
          <w:rFonts w:ascii="Times New Roman" w:hAnsi="Times New Roman" w:cs="Times New Roman"/>
          <w:sz w:val="28"/>
          <w:szCs w:val="28"/>
        </w:rPr>
        <w:t>belonging to the</w:t>
      </w:r>
      <w:r>
        <w:rPr>
          <w:rFonts w:ascii="Times New Roman" w:hAnsi="Times New Roman" w:cs="Times New Roman"/>
          <w:sz w:val="28"/>
          <w:szCs w:val="28"/>
        </w:rPr>
        <w:t xml:space="preserve"> dense cluster of blue dots in the lower right corner. At the same time, some middle-income countries (as well as poor ones) are found to belong to the class with a low correlation between broad money and gross investment. Therefore, we can talk about the incorrectness of the hypothesis that the growth of the money supply has a positive effect on investment and GDP growth only for developed and rich countries.</w:t>
      </w:r>
    </w:p>
    <w:p w14:paraId="3D215E96" w14:textId="65478347" w:rsidR="00442AD0" w:rsidRDefault="008315AB"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The vast</w:t>
      </w:r>
      <w:r w:rsidR="00714119">
        <w:rPr>
          <w:rFonts w:ascii="Times New Roman" w:hAnsi="Times New Roman" w:cs="Times New Roman"/>
          <w:sz w:val="28"/>
          <w:szCs w:val="28"/>
        </w:rPr>
        <w:t xml:space="preserve"> majority of the analyzed countries ended up in the class with a provable correlation regardless of their wealth and development. The share of such countries </w:t>
      </w:r>
      <w:r w:rsidR="00015C87">
        <w:rPr>
          <w:rFonts w:ascii="Times New Roman" w:hAnsi="Times New Roman" w:cs="Times New Roman"/>
          <w:sz w:val="28"/>
          <w:szCs w:val="28"/>
        </w:rPr>
        <w:t>constitutes</w:t>
      </w:r>
      <w:r w:rsidR="00714119">
        <w:rPr>
          <w:rFonts w:ascii="Times New Roman" w:hAnsi="Times New Roman" w:cs="Times New Roman"/>
          <w:sz w:val="28"/>
          <w:szCs w:val="28"/>
        </w:rPr>
        <w:t xml:space="preserve"> 79%. On the contrary, among the remaining 21%, there are countries with predominantly middle and low per capita income.</w:t>
      </w:r>
    </w:p>
    <w:p w14:paraId="16E89245" w14:textId="736B06A7" w:rsidR="00B94EC9" w:rsidRDefault="00714119" w:rsidP="002414B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To expand the study, countries cluster analysis was executed in the same feature space. These heterogeneous indicators (GDP per capita and correlation coefficient) were also normalized, as in the classification method shown above. The “mean shift” method was applied for this cluster analysis </w:t>
      </w:r>
      <w:r w:rsidR="00CF155F">
        <w:rPr>
          <w:rFonts w:ascii="Times New Roman" w:hAnsi="Times New Roman" w:cs="Times New Roman"/>
          <w:sz w:val="28"/>
          <w:szCs w:val="28"/>
        </w:rPr>
        <w:t>(</w:t>
      </w:r>
      <w:proofErr w:type="spellStart"/>
      <w:r w:rsidR="00CF155F">
        <w:rPr>
          <w:rFonts w:ascii="Times New Roman" w:hAnsi="Times New Roman" w:cs="Times New Roman"/>
          <w:sz w:val="28"/>
          <w:szCs w:val="28"/>
        </w:rPr>
        <w:t>Comaniciu</w:t>
      </w:r>
      <w:proofErr w:type="spellEnd"/>
      <w:r w:rsidR="00CF155F">
        <w:rPr>
          <w:rFonts w:ascii="Times New Roman" w:hAnsi="Times New Roman" w:cs="Times New Roman"/>
          <w:sz w:val="28"/>
          <w:szCs w:val="28"/>
        </w:rPr>
        <w:t>, Meer, 2002)</w:t>
      </w:r>
      <w:r>
        <w:rPr>
          <w:rFonts w:ascii="Times New Roman" w:hAnsi="Times New Roman" w:cs="Times New Roman"/>
          <w:sz w:val="28"/>
          <w:szCs w:val="28"/>
        </w:rPr>
        <w:t xml:space="preserve">. The internal parameters of the “mean shift” method were selected based on cross-validation, maximizing the accuracy of separating the countries in the feature space. The results of the analysis are illustrated in Fig. 7. The countries were divided into five clusters, marked </w:t>
      </w:r>
      <w:r>
        <w:rPr>
          <w:rFonts w:ascii="Times New Roman" w:hAnsi="Times New Roman" w:cs="Times New Roman"/>
          <w:sz w:val="28"/>
          <w:szCs w:val="28"/>
        </w:rPr>
        <w:lastRenderedPageBreak/>
        <w:t>in the figure in different colors (with the centers of the clusters marked with larger circles).</w:t>
      </w:r>
    </w:p>
    <w:p w14:paraId="762B8123" w14:textId="77777777" w:rsidR="00442AD0" w:rsidRDefault="00442AD0">
      <w:pPr>
        <w:ind w:firstLine="709"/>
        <w:jc w:val="both"/>
        <w:rPr>
          <w:rFonts w:ascii="Times New Roman" w:hAnsi="Times New Roman" w:cs="Times New Roman"/>
          <w:sz w:val="28"/>
          <w:szCs w:val="28"/>
        </w:rPr>
      </w:pPr>
    </w:p>
    <w:p w14:paraId="7E061E29" w14:textId="77777777" w:rsidR="00442AD0" w:rsidRDefault="00714119">
      <w:pPr>
        <w:jc w:val="center"/>
      </w:pPr>
      <w:r>
        <w:rPr>
          <w:noProof/>
        </w:rPr>
        <w:drawing>
          <wp:inline distT="0" distB="0" distL="0" distR="0" wp14:anchorId="174C5443" wp14:editId="66495C90">
            <wp:extent cx="4236085" cy="3274060"/>
            <wp:effectExtent l="0" t="0" r="0" b="0"/>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7"/>
                    <a:stretch>
                      <a:fillRect/>
                    </a:stretch>
                  </pic:blipFill>
                  <pic:spPr bwMode="auto">
                    <a:xfrm>
                      <a:off x="0" y="0"/>
                      <a:ext cx="4236085" cy="3274060"/>
                    </a:xfrm>
                    <a:prstGeom prst="rect">
                      <a:avLst/>
                    </a:prstGeom>
                  </pic:spPr>
                </pic:pic>
              </a:graphicData>
            </a:graphic>
          </wp:inline>
        </w:drawing>
      </w:r>
    </w:p>
    <w:p w14:paraId="4BC0143D" w14:textId="77777777" w:rsidR="00442AD0" w:rsidRDefault="00442AD0">
      <w:pPr>
        <w:jc w:val="center"/>
        <w:rPr>
          <w:rFonts w:ascii="Times New Roman" w:hAnsi="Times New Roman" w:cs="Times New Roman"/>
          <w:sz w:val="28"/>
          <w:szCs w:val="28"/>
        </w:rPr>
      </w:pPr>
    </w:p>
    <w:p w14:paraId="22D5400E" w14:textId="77777777" w:rsidR="00442AD0" w:rsidRDefault="00714119">
      <w:pPr>
        <w:jc w:val="center"/>
        <w:rPr>
          <w:rFonts w:ascii="Times New Roman" w:hAnsi="Times New Roman" w:cs="Times New Roman"/>
          <w:sz w:val="28"/>
          <w:szCs w:val="28"/>
        </w:rPr>
      </w:pPr>
      <w:r>
        <w:rPr>
          <w:rFonts w:ascii="Times New Roman" w:hAnsi="Times New Roman" w:cs="Times New Roman"/>
          <w:sz w:val="28"/>
          <w:szCs w:val="28"/>
        </w:rPr>
        <w:t>Figure 7. “Mean shift” clustering</w:t>
      </w:r>
    </w:p>
    <w:p w14:paraId="6A070F08" w14:textId="77777777" w:rsidR="00442AD0" w:rsidRDefault="00442AD0">
      <w:pPr>
        <w:ind w:firstLine="709"/>
        <w:jc w:val="center"/>
        <w:rPr>
          <w:rFonts w:ascii="Times New Roman" w:hAnsi="Times New Roman" w:cs="Times New Roman"/>
          <w:sz w:val="28"/>
          <w:szCs w:val="28"/>
        </w:rPr>
      </w:pPr>
    </w:p>
    <w:p w14:paraId="3A397258" w14:textId="77777777" w:rsidR="002414BC" w:rsidRDefault="002414BC" w:rsidP="002414B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The analysis showed that the largest group, marked in blue in the lower right corner, included 78% of the total number of countries. And these are precisely the countries with a relatively low level of GDP per capita but at the same time a high correlation between broad money and investment. For such countries, the increase in monetization is strongly linked with GDP growth.</w:t>
      </w:r>
    </w:p>
    <w:p w14:paraId="3894A98E" w14:textId="3A08E9D6" w:rsidR="002414BC" w:rsidRDefault="002414BC" w:rsidP="002414B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Economic logic itself suggests that the low savings ratio and weak financial institutions in such countries make them very susceptible to money supply decrease and decline in monetization</w:t>
      </w:r>
      <w:r w:rsidR="008315AB">
        <w:rPr>
          <w:rFonts w:ascii="Times New Roman" w:hAnsi="Times New Roman" w:cs="Times New Roman"/>
          <w:sz w:val="28"/>
          <w:szCs w:val="28"/>
        </w:rPr>
        <w:t xml:space="preserve"> u</w:t>
      </w:r>
      <w:r>
        <w:rPr>
          <w:rFonts w:ascii="Times New Roman" w:hAnsi="Times New Roman" w:cs="Times New Roman"/>
          <w:sz w:val="28"/>
          <w:szCs w:val="28"/>
        </w:rPr>
        <w:t>p to very negative consequences for their economy. These countries' group includes India, Turkey, China, Brazil, Mexico, and several other Latin American countries.</w:t>
      </w:r>
    </w:p>
    <w:p w14:paraId="3ADF4370" w14:textId="1A1F71CC" w:rsidR="00442AD0" w:rsidRDefault="00714119" w:rsidP="002414B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Rich countries in the upper right quadrant of the figure (consisting of two relatively small clusters) have shown, as expected, </w:t>
      </w:r>
      <w:r w:rsidR="00AB15FB">
        <w:rPr>
          <w:rFonts w:ascii="Times New Roman" w:hAnsi="Times New Roman" w:cs="Times New Roman"/>
          <w:sz w:val="28"/>
          <w:szCs w:val="28"/>
        </w:rPr>
        <w:t>a</w:t>
      </w:r>
      <w:r>
        <w:rPr>
          <w:rFonts w:ascii="Times New Roman" w:hAnsi="Times New Roman" w:cs="Times New Roman"/>
          <w:sz w:val="28"/>
          <w:szCs w:val="28"/>
        </w:rPr>
        <w:t xml:space="preserve"> strong positive relationship between the broad money supply and investment growth.</w:t>
      </w:r>
      <w:r w:rsidR="002414BC">
        <w:rPr>
          <w:rFonts w:ascii="Times New Roman" w:hAnsi="Times New Roman" w:cs="Times New Roman"/>
          <w:sz w:val="28"/>
          <w:szCs w:val="28"/>
        </w:rPr>
        <w:t xml:space="preserve"> </w:t>
      </w:r>
      <w:r>
        <w:rPr>
          <w:rFonts w:ascii="Times New Roman" w:hAnsi="Times New Roman" w:cs="Times New Roman"/>
          <w:sz w:val="28"/>
          <w:szCs w:val="28"/>
        </w:rPr>
        <w:t>In contrast, the green cluster (low correlation and low per capita income) in the lower-left quadrant predictably includes countries ravaged by war or poverty, such as Ethiopia and Libya.</w:t>
      </w:r>
    </w:p>
    <w:p w14:paraId="222F6DE2" w14:textId="74686BB3" w:rsidR="00F94DBD" w:rsidRPr="00291537" w:rsidRDefault="00714119" w:rsidP="00291537">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However, there is also a small group of countries where the relationship between M3 and gross investment does not depend on wealth. They are represented by the red cluster in the figure. Among the countries in this group</w:t>
      </w:r>
      <w:r w:rsidR="003F3F98">
        <w:rPr>
          <w:rFonts w:ascii="Times New Roman" w:hAnsi="Times New Roman" w:cs="Times New Roman"/>
          <w:sz w:val="28"/>
          <w:szCs w:val="28"/>
        </w:rPr>
        <w:t>,</w:t>
      </w:r>
      <w:r>
        <w:rPr>
          <w:rFonts w:ascii="Times New Roman" w:hAnsi="Times New Roman" w:cs="Times New Roman"/>
          <w:sz w:val="28"/>
          <w:szCs w:val="28"/>
        </w:rPr>
        <w:t xml:space="preserve"> </w:t>
      </w:r>
      <w:r w:rsidR="003F3F98">
        <w:rPr>
          <w:rFonts w:ascii="Times New Roman" w:hAnsi="Times New Roman" w:cs="Times New Roman"/>
          <w:sz w:val="28"/>
          <w:szCs w:val="28"/>
        </w:rPr>
        <w:t xml:space="preserve">there </w:t>
      </w:r>
      <w:r>
        <w:rPr>
          <w:rFonts w:ascii="Times New Roman" w:hAnsi="Times New Roman" w:cs="Times New Roman"/>
          <w:sz w:val="28"/>
          <w:szCs w:val="28"/>
        </w:rPr>
        <w:t xml:space="preserve">are Japan, Switzerland, and Panama. These are three clear examples of how different economic destinies </w:t>
      </w:r>
      <w:r>
        <w:rPr>
          <w:rFonts w:ascii="Times New Roman" w:hAnsi="Times New Roman" w:cs="Times New Roman"/>
          <w:sz w:val="28"/>
          <w:szCs w:val="28"/>
        </w:rPr>
        <w:lastRenderedPageBreak/>
        <w:t>brought them to this neighborhood. Japan is still unable to resurrect the economy and the financial institutions' normal functioning after the “lost decade”. The other two countries are offshore havens whose economies are weakly dependent on domestic monetary policy.</w:t>
      </w:r>
    </w:p>
    <w:p w14:paraId="3239D42B" w14:textId="77777777" w:rsidR="00376EB3" w:rsidRPr="00F94DBD" w:rsidRDefault="00376EB3" w:rsidP="00376EB3">
      <w:pPr>
        <w:spacing w:line="276" w:lineRule="auto"/>
        <w:ind w:firstLine="709"/>
        <w:jc w:val="both"/>
        <w:rPr>
          <w:rFonts w:ascii="Times New Roman" w:hAnsi="Times New Roman" w:cs="Times New Roman"/>
          <w:sz w:val="28"/>
          <w:szCs w:val="28"/>
        </w:rPr>
      </w:pPr>
    </w:p>
    <w:p w14:paraId="6F8D5347" w14:textId="1D0792AB" w:rsidR="00376EB3" w:rsidRDefault="00376EB3" w:rsidP="00376EB3">
      <w:pPr>
        <w:pStyle w:val="1"/>
        <w:spacing w:line="276" w:lineRule="auto"/>
        <w:jc w:val="center"/>
      </w:pPr>
      <w:r>
        <w:t>Conclusions</w:t>
      </w:r>
    </w:p>
    <w:p w14:paraId="011CCA52" w14:textId="0855A38E"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Money is not just a "blanket" thrown over </w:t>
      </w:r>
      <w:r w:rsidR="00AB15FB">
        <w:rPr>
          <w:rFonts w:ascii="Times New Roman" w:hAnsi="Times New Roman" w:cs="Times New Roman"/>
          <w:sz w:val="28"/>
          <w:szCs w:val="28"/>
        </w:rPr>
        <w:t xml:space="preserve">the </w:t>
      </w:r>
      <w:r>
        <w:rPr>
          <w:rFonts w:ascii="Times New Roman" w:hAnsi="Times New Roman" w:cs="Times New Roman"/>
          <w:sz w:val="28"/>
          <w:szCs w:val="28"/>
        </w:rPr>
        <w:t>economy to warm it up. They can and do work, but only with varying degrees of success. Monetary policy is the tool that</w:t>
      </w:r>
      <w:r w:rsidR="003A19F9">
        <w:rPr>
          <w:rFonts w:ascii="Times New Roman" w:hAnsi="Times New Roman" w:cs="Times New Roman"/>
          <w:sz w:val="28"/>
          <w:szCs w:val="28"/>
        </w:rPr>
        <w:t xml:space="preserve"> has</w:t>
      </w:r>
      <w:r>
        <w:rPr>
          <w:rFonts w:ascii="Times New Roman" w:hAnsi="Times New Roman" w:cs="Times New Roman"/>
          <w:sz w:val="28"/>
          <w:szCs w:val="28"/>
        </w:rPr>
        <w:t xml:space="preserve"> helped overcome two global crises, but it also created new problems</w:t>
      </w:r>
      <w:r w:rsidR="003F3F98">
        <w:rPr>
          <w:rFonts w:ascii="Times New Roman" w:hAnsi="Times New Roman" w:cs="Times New Roman"/>
          <w:sz w:val="28"/>
          <w:szCs w:val="28"/>
        </w:rPr>
        <w:t>, n</w:t>
      </w:r>
      <w:r>
        <w:rPr>
          <w:rFonts w:ascii="Times New Roman" w:hAnsi="Times New Roman" w:cs="Times New Roman"/>
          <w:sz w:val="28"/>
          <w:szCs w:val="28"/>
        </w:rPr>
        <w:t xml:space="preserve">amely, uncontrolled price increases </w:t>
      </w:r>
      <w:r w:rsidR="003A19F9">
        <w:rPr>
          <w:rFonts w:ascii="Times New Roman" w:hAnsi="Times New Roman" w:cs="Times New Roman"/>
          <w:sz w:val="28"/>
          <w:szCs w:val="28"/>
        </w:rPr>
        <w:t>and "</w:t>
      </w:r>
      <w:r>
        <w:rPr>
          <w:rFonts w:ascii="Times New Roman" w:hAnsi="Times New Roman" w:cs="Times New Roman"/>
          <w:sz w:val="28"/>
          <w:szCs w:val="28"/>
        </w:rPr>
        <w:t>financial bubbles" inflating.</w:t>
      </w:r>
    </w:p>
    <w:p w14:paraId="488A52AD" w14:textId="1DCE4DD9"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As shown by the statistical analysis, money is important, but </w:t>
      </w:r>
      <w:r w:rsidR="003F3F98">
        <w:rPr>
          <w:rFonts w:ascii="Times New Roman" w:hAnsi="Times New Roman" w:cs="Times New Roman"/>
          <w:sz w:val="28"/>
          <w:szCs w:val="28"/>
        </w:rPr>
        <w:t xml:space="preserve">it is </w:t>
      </w:r>
      <w:r>
        <w:rPr>
          <w:rFonts w:ascii="Times New Roman" w:hAnsi="Times New Roman" w:cs="Times New Roman"/>
          <w:sz w:val="28"/>
          <w:szCs w:val="28"/>
        </w:rPr>
        <w:t xml:space="preserve">not always the decisive factor for the growth of investment and GDP. Moreover (and it should be emphasized), this conclusion does not directly depend on the level of economic development. In most world countries (both developed and developing), a strong relationship exists between real money supply and investment. This relationship leads to GDP growth. But at the same time, there are certain rich economies, where the growth of the real money supply is weakly related to the increase of investments. There are </w:t>
      </w:r>
      <w:r w:rsidR="003F3F98">
        <w:rPr>
          <w:rFonts w:ascii="Times New Roman" w:hAnsi="Times New Roman" w:cs="Times New Roman"/>
          <w:sz w:val="28"/>
          <w:szCs w:val="28"/>
        </w:rPr>
        <w:t>some cases</w:t>
      </w:r>
      <w:r>
        <w:rPr>
          <w:rFonts w:ascii="Times New Roman" w:hAnsi="Times New Roman" w:cs="Times New Roman"/>
          <w:sz w:val="28"/>
          <w:szCs w:val="28"/>
        </w:rPr>
        <w:t>, where the dependence is almost functional (but until the possibilities of extensive growth are exhausted).</w:t>
      </w:r>
    </w:p>
    <w:p w14:paraId="67FD6239" w14:textId="0AD6C283" w:rsidR="00442AD0" w:rsidRDefault="00714119" w:rsidP="00F94DBD">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Despite the importance of monetary variables, key factors that influence the "real money supply-investment-GDP" chain should be investigated outside the monetary sphere. The conclusion has long been known but is relatively new for the current conditions. The sustained expansion of the monetary base and the growth of the real money supply do matter. But they cannot by themselves solve the fundamental problems of modernizing economic institutions and bridging technological gaps. Concerning the Ukrainian economy, the regulator has to maintain a stable growth of </w:t>
      </w:r>
      <w:r w:rsidR="00AB15FB">
        <w:rPr>
          <w:rFonts w:ascii="Times New Roman" w:hAnsi="Times New Roman" w:cs="Times New Roman"/>
          <w:sz w:val="28"/>
          <w:szCs w:val="28"/>
        </w:rPr>
        <w:t xml:space="preserve">the </w:t>
      </w:r>
      <w:r>
        <w:rPr>
          <w:rFonts w:ascii="Times New Roman" w:hAnsi="Times New Roman" w:cs="Times New Roman"/>
          <w:sz w:val="28"/>
          <w:szCs w:val="28"/>
        </w:rPr>
        <w:t xml:space="preserve">real money supply. It is essential for solving the accumulated problems, providing that the government creates preconditions for accelerating the national technical and technological development and raising the general level of the economy. Such complex rules for economic policy should be considered a priority for further research in </w:t>
      </w:r>
      <w:r w:rsidR="00CE2051">
        <w:rPr>
          <w:rFonts w:ascii="Times New Roman" w:hAnsi="Times New Roman" w:cs="Times New Roman"/>
          <w:sz w:val="28"/>
          <w:szCs w:val="28"/>
        </w:rPr>
        <w:t>these subject areas</w:t>
      </w:r>
      <w:r>
        <w:rPr>
          <w:rFonts w:ascii="Times New Roman" w:hAnsi="Times New Roman" w:cs="Times New Roman"/>
          <w:sz w:val="28"/>
          <w:szCs w:val="28"/>
        </w:rPr>
        <w:t>.</w:t>
      </w:r>
    </w:p>
    <w:p w14:paraId="06F8D47C" w14:textId="77777777" w:rsidR="00F94DBD" w:rsidRPr="00F94DBD" w:rsidRDefault="00F94DBD" w:rsidP="00F94DBD">
      <w:pPr>
        <w:spacing w:line="276" w:lineRule="auto"/>
        <w:ind w:firstLine="709"/>
        <w:jc w:val="both"/>
        <w:rPr>
          <w:rFonts w:ascii="Times New Roman" w:hAnsi="Times New Roman" w:cs="Times New Roman"/>
          <w:sz w:val="28"/>
          <w:szCs w:val="28"/>
        </w:rPr>
      </w:pPr>
    </w:p>
    <w:p w14:paraId="7EAE244E" w14:textId="75D0EE2C" w:rsidR="00442AD0" w:rsidRDefault="00714119" w:rsidP="00F94DBD">
      <w:pPr>
        <w:pStyle w:val="1"/>
        <w:spacing w:line="276" w:lineRule="auto"/>
        <w:jc w:val="center"/>
      </w:pPr>
      <w:r>
        <w:t>References</w:t>
      </w:r>
    </w:p>
    <w:p w14:paraId="79B3D159" w14:textId="77777777" w:rsidR="00442AD0" w:rsidRDefault="00714119" w:rsidP="00F94DBD">
      <w:pPr>
        <w:tabs>
          <w:tab w:val="left" w:pos="426"/>
        </w:tabs>
        <w:spacing w:after="200" w:line="276" w:lineRule="auto"/>
        <w:ind w:left="426" w:hanging="426"/>
      </w:pPr>
      <w:bookmarkStart w:id="11" w:name="_Ref95048337"/>
      <w:r w:rsidRPr="00CF155F">
        <w:rPr>
          <w:rFonts w:ascii="Times New Roman" w:hAnsi="Times New Roman" w:cs="Times New Roman"/>
          <w:sz w:val="28"/>
          <w:szCs w:val="28"/>
          <w:shd w:val="clear" w:color="auto" w:fill="FFFFFF"/>
        </w:rPr>
        <w:t xml:space="preserve">Damiano, Sandri, </w:t>
      </w:r>
      <w:proofErr w:type="spellStart"/>
      <w:r w:rsidRPr="00CF155F">
        <w:rPr>
          <w:rFonts w:ascii="Times New Roman" w:hAnsi="Times New Roman" w:cs="Times New Roman"/>
          <w:sz w:val="28"/>
          <w:szCs w:val="28"/>
          <w:shd w:val="clear" w:color="auto" w:fill="FFFFFF"/>
        </w:rPr>
        <w:t>Itai</w:t>
      </w:r>
      <w:proofErr w:type="spellEnd"/>
      <w:r w:rsidRPr="00CF155F">
        <w:rPr>
          <w:rFonts w:ascii="Times New Roman" w:hAnsi="Times New Roman" w:cs="Times New Roman"/>
          <w:sz w:val="28"/>
          <w:szCs w:val="28"/>
          <w:shd w:val="clear" w:color="auto" w:fill="FFFFFF"/>
        </w:rPr>
        <w:t xml:space="preserve"> </w:t>
      </w:r>
      <w:proofErr w:type="spellStart"/>
      <w:r w:rsidRPr="00CF155F">
        <w:rPr>
          <w:rFonts w:ascii="Times New Roman" w:hAnsi="Times New Roman" w:cs="Times New Roman"/>
          <w:sz w:val="28"/>
          <w:szCs w:val="28"/>
          <w:shd w:val="clear" w:color="auto" w:fill="FFFFFF"/>
        </w:rPr>
        <w:t>Agur</w:t>
      </w:r>
      <w:proofErr w:type="spellEnd"/>
      <w:r w:rsidRPr="00CF155F">
        <w:rPr>
          <w:rFonts w:ascii="Times New Roman" w:hAnsi="Times New Roman" w:cs="Times New Roman"/>
          <w:sz w:val="28"/>
          <w:szCs w:val="28"/>
          <w:shd w:val="clear" w:color="auto" w:fill="FFFFFF"/>
        </w:rPr>
        <w:t xml:space="preserve">, Damien Capelle, Giovanni </w:t>
      </w:r>
      <w:proofErr w:type="spellStart"/>
      <w:r w:rsidRPr="00CF155F">
        <w:rPr>
          <w:rFonts w:ascii="Times New Roman" w:hAnsi="Times New Roman" w:cs="Times New Roman"/>
          <w:sz w:val="28"/>
          <w:szCs w:val="28"/>
          <w:shd w:val="clear" w:color="auto" w:fill="FFFFFF"/>
        </w:rPr>
        <w:t>Dell'Ariccia</w:t>
      </w:r>
      <w:proofErr w:type="spellEnd"/>
      <w:r w:rsidRPr="00CF155F">
        <w:rPr>
          <w:rFonts w:ascii="Times New Roman" w:hAnsi="Times New Roman" w:cs="Times New Roman"/>
          <w:sz w:val="28"/>
          <w:szCs w:val="28"/>
          <w:shd w:val="clear" w:color="auto" w:fill="FFFFFF"/>
        </w:rPr>
        <w:t xml:space="preserve"> (2022). Monetary Finance: Do Not Touch, or Handle with Care? International Monetary Fund. Retrieved from </w:t>
      </w:r>
      <w:r w:rsidRPr="00CF155F">
        <w:rPr>
          <w:rFonts w:ascii="Times New Roman" w:hAnsi="Times New Roman" w:cs="Times New Roman"/>
          <w:i/>
          <w:iCs/>
          <w:sz w:val="28"/>
          <w:szCs w:val="28"/>
          <w:shd w:val="clear" w:color="auto" w:fill="FFFFFF"/>
        </w:rPr>
        <w:t>https://www.imf.org/en/Publications/Departmental-Papers-Policy-Papers/Issues/2022/01/11/Monetary-Finance-Do-Not-Touch-or-Handle-with-Care-464862</w:t>
      </w:r>
      <w:bookmarkEnd w:id="11"/>
    </w:p>
    <w:p w14:paraId="02733DD8" w14:textId="77777777" w:rsidR="00442AD0" w:rsidRDefault="00714119" w:rsidP="00F94DBD">
      <w:pPr>
        <w:tabs>
          <w:tab w:val="left" w:pos="426"/>
        </w:tabs>
        <w:spacing w:after="200" w:line="276" w:lineRule="auto"/>
        <w:ind w:left="426" w:hanging="426"/>
      </w:pPr>
      <w:bookmarkStart w:id="12" w:name="_Ref95048344"/>
      <w:r w:rsidRPr="00CF155F">
        <w:rPr>
          <w:rFonts w:ascii="Times New Roman" w:hAnsi="Times New Roman" w:cs="Times New Roman"/>
          <w:sz w:val="28"/>
          <w:szCs w:val="28"/>
          <w:shd w:val="clear" w:color="auto" w:fill="FFFFFF"/>
        </w:rPr>
        <w:lastRenderedPageBreak/>
        <w:t xml:space="preserve">Vishnevsky, V. (2022). Digital technologies and problems of industrial development. Economics of Ukraine. № 1. P. 47—66. DOI: </w:t>
      </w:r>
      <w:r w:rsidRPr="00CF155F">
        <w:rPr>
          <w:rFonts w:ascii="Times New Roman" w:hAnsi="Times New Roman" w:cs="Times New Roman"/>
          <w:i/>
          <w:iCs/>
          <w:sz w:val="28"/>
          <w:szCs w:val="28"/>
          <w:shd w:val="clear" w:color="auto" w:fill="FFFFFF"/>
        </w:rPr>
        <w:t>https://doi.org/10.15407/economyukr.2022.01.047</w:t>
      </w:r>
      <w:r w:rsidRPr="00CF155F">
        <w:rPr>
          <w:rFonts w:ascii="Times New Roman" w:hAnsi="Times New Roman" w:cs="Times New Roman"/>
          <w:sz w:val="28"/>
          <w:szCs w:val="28"/>
          <w:shd w:val="clear" w:color="auto" w:fill="FFFFFF"/>
        </w:rPr>
        <w:t xml:space="preserve">, </w:t>
      </w:r>
      <w:r w:rsidRPr="00CF155F">
        <w:rPr>
          <w:rFonts w:ascii="Times New Roman" w:hAnsi="Times New Roman" w:cs="Times New Roman"/>
          <w:sz w:val="28"/>
          <w:szCs w:val="28"/>
          <w:shd w:val="clear" w:color="auto" w:fill="FFFFFF"/>
          <w:lang w:val="ru-RU"/>
        </w:rPr>
        <w:t>с</w:t>
      </w:r>
      <w:r w:rsidRPr="00CF155F">
        <w:rPr>
          <w:rFonts w:ascii="Times New Roman" w:hAnsi="Times New Roman" w:cs="Times New Roman"/>
          <w:sz w:val="28"/>
          <w:szCs w:val="28"/>
          <w:shd w:val="clear" w:color="auto" w:fill="FFFFFF"/>
        </w:rPr>
        <w:t>. 63.</w:t>
      </w:r>
      <w:bookmarkEnd w:id="12"/>
      <w:r w:rsidRPr="00CF155F">
        <w:rPr>
          <w:rFonts w:ascii="Times New Roman" w:hAnsi="Times New Roman" w:cs="Times New Roman"/>
          <w:sz w:val="28"/>
          <w:szCs w:val="28"/>
          <w:shd w:val="clear" w:color="auto" w:fill="FFFFFF"/>
        </w:rPr>
        <w:t xml:space="preserve"> [in Ukrainian].</w:t>
      </w:r>
    </w:p>
    <w:p w14:paraId="1A183A59" w14:textId="77777777" w:rsidR="00442AD0" w:rsidRDefault="00714119" w:rsidP="00F94DBD">
      <w:pPr>
        <w:tabs>
          <w:tab w:val="left" w:pos="426"/>
        </w:tabs>
        <w:spacing w:after="200" w:line="276" w:lineRule="auto"/>
        <w:ind w:left="426" w:hanging="426"/>
      </w:pPr>
      <w:bookmarkStart w:id="13" w:name="_Ref94941877"/>
      <w:r w:rsidRPr="00CF155F">
        <w:rPr>
          <w:rFonts w:ascii="Times New Roman" w:hAnsi="Times New Roman" w:cs="Times New Roman"/>
          <w:sz w:val="28"/>
          <w:szCs w:val="28"/>
          <w:shd w:val="clear" w:color="auto" w:fill="FFFFFF"/>
        </w:rPr>
        <w:t>Adam, K., Weber, H. (2019). Optimal Trend Inflation. American Economic Review. 2019. Vol. 109. № 2. P. 702–737.</w:t>
      </w:r>
      <w:bookmarkEnd w:id="13"/>
    </w:p>
    <w:p w14:paraId="2E8328A0" w14:textId="77777777" w:rsidR="00442AD0" w:rsidRDefault="00714119" w:rsidP="00F94DBD">
      <w:pPr>
        <w:tabs>
          <w:tab w:val="left" w:pos="426"/>
        </w:tabs>
        <w:spacing w:after="200" w:line="276" w:lineRule="auto"/>
        <w:ind w:left="426" w:hanging="426"/>
      </w:pPr>
      <w:bookmarkStart w:id="14" w:name="_Ref94941887"/>
      <w:r w:rsidRPr="00CF155F">
        <w:rPr>
          <w:rFonts w:ascii="Times New Roman" w:hAnsi="Times New Roman" w:cs="Times New Roman"/>
          <w:sz w:val="28"/>
          <w:szCs w:val="28"/>
          <w:shd w:val="clear" w:color="auto" w:fill="FFFFFF"/>
        </w:rPr>
        <w:t xml:space="preserve">Phillips, A.W. (1958). The Relation Between Unemployment and the Rate of Change of Money Wage Rates in the United Kingdom, 1861-1957. </w:t>
      </w:r>
      <w:proofErr w:type="spellStart"/>
      <w:r w:rsidRPr="00CF155F">
        <w:rPr>
          <w:rFonts w:ascii="Times New Roman" w:hAnsi="Times New Roman" w:cs="Times New Roman"/>
          <w:sz w:val="28"/>
          <w:szCs w:val="28"/>
          <w:shd w:val="clear" w:color="auto" w:fill="FFFFFF"/>
        </w:rPr>
        <w:t>Economica</w:t>
      </w:r>
      <w:proofErr w:type="spellEnd"/>
      <w:r w:rsidRPr="00CF155F">
        <w:rPr>
          <w:rFonts w:ascii="Times New Roman" w:hAnsi="Times New Roman" w:cs="Times New Roman"/>
          <w:sz w:val="28"/>
          <w:szCs w:val="28"/>
          <w:shd w:val="clear" w:color="auto" w:fill="FFFFFF"/>
        </w:rPr>
        <w:t>. P. 283-299.</w:t>
      </w:r>
      <w:bookmarkEnd w:id="14"/>
    </w:p>
    <w:p w14:paraId="78BA46C2" w14:textId="77777777" w:rsidR="00442AD0" w:rsidRDefault="00714119" w:rsidP="00F94DBD">
      <w:pPr>
        <w:tabs>
          <w:tab w:val="left" w:pos="426"/>
        </w:tabs>
        <w:spacing w:after="200" w:line="276" w:lineRule="auto"/>
        <w:ind w:left="426" w:hanging="426"/>
      </w:pPr>
      <w:bookmarkStart w:id="15" w:name="_Ref94941914"/>
      <w:r w:rsidRPr="00CF155F">
        <w:rPr>
          <w:rFonts w:ascii="Times New Roman" w:hAnsi="Times New Roman" w:cs="Times New Roman"/>
          <w:sz w:val="28"/>
          <w:szCs w:val="28"/>
          <w:shd w:val="clear" w:color="auto" w:fill="FFFFFF"/>
        </w:rPr>
        <w:t xml:space="preserve">Kaldor, N. (1971). Conflicts in National Economic Objectives. </w:t>
      </w:r>
      <w:hyperlink r:id="rId18">
        <w:r w:rsidRPr="00CF155F">
          <w:rPr>
            <w:rStyle w:val="a6"/>
            <w:rFonts w:ascii="Times New Roman" w:eastAsia="Songti SC" w:hAnsi="Times New Roman" w:cs="Times New Roman"/>
            <w:color w:val="000000"/>
            <w:kern w:val="2"/>
            <w:sz w:val="28"/>
            <w:szCs w:val="28"/>
            <w:u w:val="none"/>
            <w:shd w:val="clear" w:color="auto" w:fill="FFFFFF"/>
            <w:lang w:eastAsia="zh-CN" w:bidi="hi-IN"/>
          </w:rPr>
          <w:t>Economic Journal</w:t>
        </w:r>
      </w:hyperlink>
      <w:r w:rsidRPr="00CF155F">
        <w:rPr>
          <w:rFonts w:ascii="Times New Roman" w:hAnsi="Times New Roman" w:cs="Times New Roman"/>
          <w:sz w:val="28"/>
          <w:szCs w:val="28"/>
          <w:shd w:val="clear" w:color="auto" w:fill="FFFFFF"/>
        </w:rPr>
        <w:t>. vol. 81, issue 321, pp. 1-16.</w:t>
      </w:r>
      <w:bookmarkEnd w:id="15"/>
    </w:p>
    <w:p w14:paraId="1D396901" w14:textId="77777777" w:rsidR="00442AD0" w:rsidRDefault="00714119" w:rsidP="00F94DBD">
      <w:pPr>
        <w:tabs>
          <w:tab w:val="left" w:pos="426"/>
        </w:tabs>
        <w:spacing w:after="200" w:line="276" w:lineRule="auto"/>
        <w:ind w:left="426" w:hanging="426"/>
      </w:pPr>
      <w:bookmarkStart w:id="16" w:name="_Ref94941979"/>
      <w:r w:rsidRPr="00CF155F">
        <w:rPr>
          <w:rFonts w:ascii="Times New Roman" w:hAnsi="Times New Roman" w:cs="Times New Roman"/>
          <w:sz w:val="28"/>
          <w:szCs w:val="28"/>
          <w:shd w:val="clear" w:color="auto" w:fill="FFFFFF"/>
        </w:rPr>
        <w:t xml:space="preserve">Inflation in the US accelerated to a record since 1982. (2021).  Economic truth. [in Russian]. </w:t>
      </w:r>
      <w:bookmarkEnd w:id="16"/>
    </w:p>
    <w:p w14:paraId="3E7E0DD3" w14:textId="77777777" w:rsidR="00442AD0" w:rsidRDefault="00714119" w:rsidP="00F94DBD">
      <w:pPr>
        <w:pStyle w:val="PreformattedText"/>
        <w:tabs>
          <w:tab w:val="left" w:pos="426"/>
        </w:tabs>
        <w:suppressAutoHyphens/>
        <w:spacing w:after="200" w:line="276" w:lineRule="auto"/>
        <w:ind w:left="426" w:hanging="426"/>
      </w:pPr>
      <w:bookmarkStart w:id="17" w:name="tw-target-text1"/>
      <w:bookmarkEnd w:id="17"/>
      <w:proofErr w:type="spellStart"/>
      <w:r>
        <w:rPr>
          <w:rFonts w:ascii="Times New Roman" w:eastAsia="Arial Unicode MS" w:hAnsi="Times New Roman" w:cs="Times New Roman"/>
          <w:sz w:val="28"/>
          <w:szCs w:val="28"/>
          <w:shd w:val="clear" w:color="auto" w:fill="FFFFFF"/>
        </w:rPr>
        <w:t>Zaiko</w:t>
      </w:r>
      <w:proofErr w:type="spellEnd"/>
      <w:r>
        <w:rPr>
          <w:rFonts w:ascii="Times New Roman" w:eastAsia="Arial Unicode MS" w:hAnsi="Times New Roman" w:cs="Times New Roman"/>
          <w:sz w:val="28"/>
          <w:szCs w:val="28"/>
          <w:shd w:val="clear" w:color="auto" w:fill="FFFFFF"/>
        </w:rPr>
        <w:t xml:space="preserve"> N. (2015). Quantitative Easing in the United States: Implications for Developing Countries. Regional problems of economic transformation, (6 (56)), 96-100.</w:t>
      </w:r>
      <w:bookmarkStart w:id="18" w:name="_Ref94944387"/>
      <w:r>
        <w:rPr>
          <w:rFonts w:ascii="Times New Roman" w:hAnsi="Times New Roman" w:cs="Times New Roman"/>
          <w:sz w:val="28"/>
          <w:szCs w:val="28"/>
          <w:shd w:val="clear" w:color="auto" w:fill="FFFFFF"/>
        </w:rPr>
        <w:t xml:space="preserve"> [in Russian].</w:t>
      </w:r>
    </w:p>
    <w:p w14:paraId="04E535EB" w14:textId="100DE1DD" w:rsidR="00442AD0" w:rsidRDefault="00714119" w:rsidP="00F94DBD">
      <w:pPr>
        <w:pStyle w:val="PreformattedText"/>
        <w:tabs>
          <w:tab w:val="left" w:pos="426"/>
        </w:tabs>
        <w:suppressAutoHyphens/>
        <w:spacing w:after="200" w:line="276" w:lineRule="auto"/>
        <w:ind w:left="426" w:hanging="426"/>
      </w:pPr>
      <w:r>
        <w:rPr>
          <w:rFonts w:ascii="Times New Roman" w:hAnsi="Times New Roman" w:cs="Times New Roman"/>
          <w:sz w:val="28"/>
          <w:szCs w:val="28"/>
          <w:shd w:val="clear" w:color="auto" w:fill="FFFFFF"/>
        </w:rPr>
        <w:t>Krugman, P. (2010). Why Is Deflation Bad</w:t>
      </w:r>
      <w:r w:rsidR="00AB15FB">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The New York Times.</w:t>
      </w:r>
      <w:bookmarkEnd w:id="18"/>
    </w:p>
    <w:p w14:paraId="685218D0" w14:textId="77777777" w:rsidR="00442AD0" w:rsidRDefault="00714119" w:rsidP="00F94DBD">
      <w:pPr>
        <w:tabs>
          <w:tab w:val="left" w:pos="426"/>
        </w:tabs>
        <w:spacing w:after="200" w:line="276" w:lineRule="auto"/>
        <w:ind w:left="426" w:hanging="426"/>
      </w:pPr>
      <w:bookmarkStart w:id="19" w:name="_Ref94944410"/>
      <w:bookmarkEnd w:id="19"/>
      <w:r w:rsidRPr="00CF155F">
        <w:rPr>
          <w:rFonts w:ascii="Times New Roman" w:hAnsi="Times New Roman" w:cs="Times New Roman"/>
          <w:sz w:val="28"/>
          <w:szCs w:val="28"/>
          <w:shd w:val="clear" w:color="auto" w:fill="FFFFFF"/>
        </w:rPr>
        <w:t xml:space="preserve">Stiglitz, J. (2008). Inflation Targeting: A Test of Reality. News </w:t>
      </w:r>
      <w:r w:rsidRPr="00CE2051">
        <w:rPr>
          <w:rFonts w:ascii="Times New Roman" w:hAnsi="Times New Roman" w:cs="Times New Roman"/>
          <w:sz w:val="28"/>
          <w:szCs w:val="28"/>
          <w:shd w:val="clear" w:color="auto" w:fill="FFFFFF"/>
        </w:rPr>
        <w:t>№</w:t>
      </w:r>
      <w:r w:rsidRPr="00CF155F">
        <w:rPr>
          <w:rFonts w:ascii="Times New Roman" w:hAnsi="Times New Roman" w:cs="Times New Roman"/>
          <w:sz w:val="28"/>
          <w:szCs w:val="28"/>
          <w:shd w:val="clear" w:color="auto" w:fill="FFFFFF"/>
        </w:rPr>
        <w:t>. 88.</w:t>
      </w:r>
      <w:r w:rsidRPr="00CE2051">
        <w:rPr>
          <w:rFonts w:ascii="Times New Roman" w:hAnsi="Times New Roman" w:cs="Times New Roman"/>
          <w:sz w:val="28"/>
          <w:szCs w:val="28"/>
          <w:shd w:val="clear" w:color="auto" w:fill="FFFFFF"/>
        </w:rPr>
        <w:t xml:space="preserve"> </w:t>
      </w:r>
    </w:p>
    <w:p w14:paraId="308ED65B" w14:textId="77777777" w:rsidR="00442AD0" w:rsidRDefault="00714119" w:rsidP="00F94DBD">
      <w:pPr>
        <w:tabs>
          <w:tab w:val="left" w:pos="426"/>
        </w:tabs>
        <w:spacing w:after="200" w:line="276" w:lineRule="auto"/>
        <w:ind w:left="426" w:hanging="426"/>
      </w:pPr>
      <w:bookmarkStart w:id="20" w:name="_Ref94944420"/>
      <w:bookmarkStart w:id="21" w:name="_Ref949444101"/>
      <w:bookmarkEnd w:id="20"/>
      <w:bookmarkEnd w:id="21"/>
      <w:proofErr w:type="spellStart"/>
      <w:r w:rsidRPr="00CF155F">
        <w:rPr>
          <w:rFonts w:ascii="Times New Roman" w:hAnsi="Times New Roman" w:cs="Times New Roman"/>
          <w:sz w:val="28"/>
          <w:szCs w:val="28"/>
          <w:shd w:val="clear" w:color="auto" w:fill="FFFFFF"/>
        </w:rPr>
        <w:t>Perevyshina</w:t>
      </w:r>
      <w:proofErr w:type="spellEnd"/>
      <w:r w:rsidRPr="00CF155F">
        <w:rPr>
          <w:rFonts w:ascii="Times New Roman" w:hAnsi="Times New Roman" w:cs="Times New Roman"/>
          <w:sz w:val="28"/>
          <w:szCs w:val="28"/>
          <w:shd w:val="clear" w:color="auto" w:fill="FFFFFF"/>
        </w:rPr>
        <w:t>, E.A. (2017). Influence of inflation on the pace of economic growth. Finance and credit. №9. [in Russian].</w:t>
      </w:r>
    </w:p>
    <w:p w14:paraId="72C21F06" w14:textId="77777777" w:rsidR="00442AD0" w:rsidRPr="00291537" w:rsidRDefault="00714119" w:rsidP="00F94DBD">
      <w:pPr>
        <w:tabs>
          <w:tab w:val="left" w:pos="426"/>
        </w:tabs>
        <w:spacing w:after="200" w:line="276" w:lineRule="auto"/>
        <w:ind w:left="426" w:hanging="426"/>
        <w:rPr>
          <w:rFonts w:ascii="Times New Roman" w:hAnsi="Times New Roman" w:cs="Times New Roman"/>
          <w:sz w:val="28"/>
          <w:szCs w:val="28"/>
          <w:shd w:val="clear" w:color="auto" w:fill="FFFFFF"/>
        </w:rPr>
      </w:pPr>
      <w:bookmarkStart w:id="22" w:name="_Ref949444201"/>
      <w:bookmarkEnd w:id="22"/>
      <w:proofErr w:type="spellStart"/>
      <w:r w:rsidRPr="00CF155F">
        <w:rPr>
          <w:rFonts w:ascii="Times New Roman" w:hAnsi="Times New Roman" w:cs="Times New Roman"/>
          <w:sz w:val="28"/>
          <w:szCs w:val="28"/>
          <w:shd w:val="clear" w:color="auto" w:fill="FFFFFF"/>
        </w:rPr>
        <w:t>Kartaev</w:t>
      </w:r>
      <w:proofErr w:type="spellEnd"/>
      <w:r w:rsidRPr="00CF155F">
        <w:rPr>
          <w:rFonts w:ascii="Times New Roman" w:hAnsi="Times New Roman" w:cs="Times New Roman"/>
          <w:sz w:val="28"/>
          <w:szCs w:val="28"/>
          <w:shd w:val="clear" w:color="auto" w:fill="FFFFFF"/>
        </w:rPr>
        <w:t xml:space="preserve">, F. (2017). Is inflation targeting good for economic growth? </w:t>
      </w:r>
      <w:proofErr w:type="spellStart"/>
      <w:r w:rsidRPr="00CF155F">
        <w:rPr>
          <w:rStyle w:val="a8"/>
          <w:rFonts w:ascii="Times New Roman" w:hAnsi="Times New Roman" w:cs="Times New Roman"/>
          <w:i w:val="0"/>
          <w:iCs w:val="0"/>
          <w:sz w:val="28"/>
          <w:szCs w:val="28"/>
          <w:shd w:val="clear" w:color="auto" w:fill="FFFFFF"/>
        </w:rPr>
        <w:t>Voprosy</w:t>
      </w:r>
      <w:proofErr w:type="spellEnd"/>
      <w:r w:rsidRPr="00CF155F">
        <w:rPr>
          <w:rStyle w:val="a8"/>
          <w:rFonts w:ascii="Times New Roman" w:hAnsi="Times New Roman" w:cs="Times New Roman"/>
          <w:i w:val="0"/>
          <w:iCs w:val="0"/>
          <w:sz w:val="28"/>
          <w:szCs w:val="28"/>
          <w:shd w:val="clear" w:color="auto" w:fill="FFFFFF"/>
        </w:rPr>
        <w:t xml:space="preserve"> </w:t>
      </w:r>
      <w:proofErr w:type="spellStart"/>
      <w:r w:rsidRPr="00CF155F">
        <w:rPr>
          <w:rStyle w:val="a8"/>
          <w:rFonts w:ascii="Times New Roman" w:hAnsi="Times New Roman" w:cs="Times New Roman"/>
          <w:i w:val="0"/>
          <w:iCs w:val="0"/>
          <w:sz w:val="28"/>
          <w:szCs w:val="28"/>
          <w:shd w:val="clear" w:color="auto" w:fill="FFFFFF"/>
        </w:rPr>
        <w:t>Ekonomiki</w:t>
      </w:r>
      <w:proofErr w:type="spellEnd"/>
      <w:r w:rsidRPr="00CF155F">
        <w:rPr>
          <w:rFonts w:ascii="Times New Roman" w:hAnsi="Times New Roman" w:cs="Times New Roman"/>
          <w:sz w:val="28"/>
          <w:szCs w:val="28"/>
          <w:shd w:val="clear" w:color="auto" w:fill="FFFFFF"/>
        </w:rPr>
        <w:t>. №2. [in Russian].</w:t>
      </w:r>
    </w:p>
    <w:p w14:paraId="1C2D0B57" w14:textId="2FF5A935" w:rsidR="00442AD0" w:rsidRPr="00291537" w:rsidRDefault="00714119" w:rsidP="00F94DBD">
      <w:pPr>
        <w:tabs>
          <w:tab w:val="left" w:pos="426"/>
        </w:tabs>
        <w:spacing w:after="200" w:line="276" w:lineRule="auto"/>
        <w:ind w:left="426" w:hanging="426"/>
        <w:rPr>
          <w:rFonts w:ascii="Times New Roman" w:hAnsi="Times New Roman" w:cs="Times New Roman"/>
          <w:i/>
          <w:iCs/>
          <w:sz w:val="28"/>
          <w:szCs w:val="28"/>
          <w:shd w:val="clear" w:color="auto" w:fill="FFFFFF"/>
        </w:rPr>
      </w:pPr>
      <w:bookmarkStart w:id="23" w:name="_Ref94944428"/>
      <w:r w:rsidRPr="00CF155F">
        <w:rPr>
          <w:rFonts w:ascii="Times New Roman" w:hAnsi="Times New Roman" w:cs="Times New Roman"/>
          <w:sz w:val="28"/>
          <w:szCs w:val="28"/>
          <w:shd w:val="clear" w:color="auto" w:fill="FFFFFF"/>
        </w:rPr>
        <w:t xml:space="preserve">Stiglitz, J. (2008, May 6)). The Failure of Inflation Targeting. Project </w:t>
      </w:r>
      <w:r w:rsidR="00AB15FB" w:rsidRPr="00CF155F">
        <w:rPr>
          <w:rFonts w:ascii="Times New Roman" w:hAnsi="Times New Roman" w:cs="Times New Roman"/>
          <w:sz w:val="28"/>
          <w:szCs w:val="28"/>
          <w:shd w:val="clear" w:color="auto" w:fill="FFFFFF"/>
        </w:rPr>
        <w:t>Syndicate</w:t>
      </w:r>
      <w:r w:rsidRPr="00CF155F">
        <w:rPr>
          <w:rFonts w:ascii="Times New Roman" w:hAnsi="Times New Roman" w:cs="Times New Roman"/>
          <w:sz w:val="28"/>
          <w:szCs w:val="28"/>
          <w:shd w:val="clear" w:color="auto" w:fill="FFFFFF"/>
        </w:rPr>
        <w:t xml:space="preserve">. Retrieved from </w:t>
      </w:r>
      <w:bookmarkEnd w:id="23"/>
      <w:r w:rsidR="00CF155F" w:rsidRPr="00291537">
        <w:rPr>
          <w:rFonts w:ascii="Times New Roman" w:hAnsi="Times New Roman" w:cs="Times New Roman"/>
          <w:i/>
          <w:iCs/>
          <w:sz w:val="28"/>
          <w:szCs w:val="28"/>
          <w:shd w:val="clear" w:color="auto" w:fill="FFFFFF"/>
        </w:rPr>
        <w:fldChar w:fldCharType="begin"/>
      </w:r>
      <w:r w:rsidR="00CF155F" w:rsidRPr="00291537">
        <w:rPr>
          <w:rFonts w:ascii="Times New Roman" w:hAnsi="Times New Roman" w:cs="Times New Roman"/>
          <w:i/>
          <w:iCs/>
          <w:sz w:val="28"/>
          <w:szCs w:val="28"/>
          <w:shd w:val="clear" w:color="auto" w:fill="FFFFFF"/>
        </w:rPr>
        <w:instrText xml:space="preserve"> HYPERLINK "http://www.project-sindicate.org" </w:instrText>
      </w:r>
      <w:r w:rsidR="00CF155F" w:rsidRPr="00291537">
        <w:rPr>
          <w:rFonts w:ascii="Times New Roman" w:hAnsi="Times New Roman" w:cs="Times New Roman"/>
          <w:i/>
          <w:iCs/>
          <w:sz w:val="28"/>
          <w:szCs w:val="28"/>
          <w:shd w:val="clear" w:color="auto" w:fill="FFFFFF"/>
        </w:rPr>
        <w:fldChar w:fldCharType="separate"/>
      </w:r>
      <w:r w:rsidR="00CF155F" w:rsidRPr="00291537">
        <w:rPr>
          <w:rFonts w:ascii="Times New Roman" w:hAnsi="Times New Roman" w:cs="Times New Roman"/>
          <w:i/>
          <w:iCs/>
          <w:sz w:val="28"/>
          <w:szCs w:val="28"/>
          <w:shd w:val="clear" w:color="auto" w:fill="FFFFFF"/>
        </w:rPr>
        <w:t>http://www.project-sindicate.org</w:t>
      </w:r>
      <w:r w:rsidR="00CF155F" w:rsidRPr="00291537">
        <w:rPr>
          <w:rFonts w:ascii="Times New Roman" w:hAnsi="Times New Roman" w:cs="Times New Roman"/>
          <w:i/>
          <w:iCs/>
          <w:sz w:val="28"/>
          <w:szCs w:val="28"/>
          <w:shd w:val="clear" w:color="auto" w:fill="FFFFFF"/>
        </w:rPr>
        <w:fldChar w:fldCharType="end"/>
      </w:r>
    </w:p>
    <w:p w14:paraId="0718BA49" w14:textId="146893E9" w:rsidR="00442AD0" w:rsidRDefault="00714119" w:rsidP="00F94DBD">
      <w:pPr>
        <w:tabs>
          <w:tab w:val="left" w:pos="426"/>
        </w:tabs>
        <w:spacing w:after="200" w:line="276" w:lineRule="auto"/>
        <w:ind w:left="426" w:hanging="426"/>
      </w:pPr>
      <w:bookmarkStart w:id="24" w:name="_Ref94944442"/>
      <w:proofErr w:type="spellStart"/>
      <w:r w:rsidRPr="00CF155F">
        <w:rPr>
          <w:rFonts w:ascii="Times New Roman" w:hAnsi="Times New Roman" w:cs="Times New Roman"/>
          <w:sz w:val="28"/>
          <w:szCs w:val="28"/>
          <w:shd w:val="clear" w:color="auto" w:fill="FFFFFF"/>
        </w:rPr>
        <w:t>Blinov</w:t>
      </w:r>
      <w:proofErr w:type="spellEnd"/>
      <w:r w:rsidRPr="00CF155F">
        <w:rPr>
          <w:rFonts w:ascii="Times New Roman" w:hAnsi="Times New Roman" w:cs="Times New Roman"/>
          <w:sz w:val="28"/>
          <w:szCs w:val="28"/>
          <w:shd w:val="clear" w:color="auto" w:fill="FFFFFF"/>
        </w:rPr>
        <w:t xml:space="preserve">, S. (2015). Real money and economic growth. Munich Personal </w:t>
      </w:r>
      <w:proofErr w:type="spellStart"/>
      <w:r w:rsidRPr="00CF155F">
        <w:rPr>
          <w:rFonts w:ascii="Times New Roman" w:hAnsi="Times New Roman" w:cs="Times New Roman"/>
          <w:sz w:val="28"/>
          <w:szCs w:val="28"/>
          <w:shd w:val="clear" w:color="auto" w:fill="FFFFFF"/>
        </w:rPr>
        <w:t>RePEc</w:t>
      </w:r>
      <w:proofErr w:type="spellEnd"/>
      <w:r w:rsidRPr="00CF155F">
        <w:rPr>
          <w:rFonts w:ascii="Times New Roman" w:hAnsi="Times New Roman" w:cs="Times New Roman"/>
          <w:sz w:val="28"/>
          <w:szCs w:val="28"/>
          <w:shd w:val="clear" w:color="auto" w:fill="FFFFFF"/>
        </w:rPr>
        <w:t xml:space="preserve"> Archive. Retrieved from</w:t>
      </w:r>
      <w:bookmarkEnd w:id="24"/>
      <w:r w:rsidRPr="00CF155F">
        <w:rPr>
          <w:rFonts w:ascii="Times New Roman" w:hAnsi="Times New Roman" w:cs="Times New Roman"/>
          <w:sz w:val="28"/>
          <w:szCs w:val="28"/>
          <w:shd w:val="clear" w:color="auto" w:fill="FFFFFF"/>
        </w:rPr>
        <w:t xml:space="preserve"> </w:t>
      </w:r>
      <w:proofErr w:type="gramStart"/>
      <w:r w:rsidRPr="00291537">
        <w:rPr>
          <w:rFonts w:ascii="Times New Roman" w:hAnsi="Times New Roman" w:cs="Times New Roman"/>
          <w:i/>
          <w:iCs/>
          <w:sz w:val="28"/>
          <w:szCs w:val="28"/>
          <w:shd w:val="clear" w:color="auto" w:fill="FFFFFF"/>
        </w:rPr>
        <w:t>https://mpra.ub.uni-muenchen.de/id/eprint/67256</w:t>
      </w:r>
      <w:r w:rsidRPr="00CF155F">
        <w:rPr>
          <w:rFonts w:ascii="Times New Roman" w:hAnsi="Times New Roman" w:cs="Times New Roman"/>
          <w:sz w:val="28"/>
          <w:szCs w:val="28"/>
          <w:shd w:val="clear" w:color="auto" w:fill="FFFFFF"/>
        </w:rPr>
        <w:t xml:space="preserve">  [</w:t>
      </w:r>
      <w:proofErr w:type="gramEnd"/>
      <w:r w:rsidRPr="00CF155F">
        <w:rPr>
          <w:rFonts w:ascii="Times New Roman" w:hAnsi="Times New Roman" w:cs="Times New Roman"/>
          <w:sz w:val="28"/>
          <w:szCs w:val="28"/>
          <w:shd w:val="clear" w:color="auto" w:fill="FFFFFF"/>
        </w:rPr>
        <w:t>in Russian].</w:t>
      </w:r>
    </w:p>
    <w:p w14:paraId="5AAF4667" w14:textId="77777777" w:rsidR="00442AD0" w:rsidRDefault="00714119" w:rsidP="00F94DBD">
      <w:pPr>
        <w:tabs>
          <w:tab w:val="left" w:pos="426"/>
        </w:tabs>
        <w:spacing w:after="200" w:line="276" w:lineRule="auto"/>
        <w:ind w:left="426" w:hanging="426"/>
      </w:pPr>
      <w:bookmarkStart w:id="25" w:name="_Ref94946609"/>
      <w:r w:rsidRPr="00CF155F">
        <w:rPr>
          <w:rFonts w:ascii="Times New Roman" w:hAnsi="Times New Roman" w:cs="Times New Roman"/>
          <w:sz w:val="28"/>
          <w:szCs w:val="28"/>
          <w:shd w:val="clear" w:color="auto" w:fill="FFFFFF"/>
        </w:rPr>
        <w:t xml:space="preserve">National Bank of Ukraine. Retrieved from </w:t>
      </w:r>
      <w:r w:rsidRPr="00291537">
        <w:rPr>
          <w:rFonts w:ascii="Times New Roman" w:hAnsi="Times New Roman" w:cs="Times New Roman"/>
          <w:i/>
          <w:iCs/>
          <w:sz w:val="28"/>
          <w:szCs w:val="28"/>
          <w:shd w:val="clear" w:color="auto" w:fill="FFFFFF"/>
        </w:rPr>
        <w:t>https://bank.gov.ua</w:t>
      </w:r>
      <w:bookmarkEnd w:id="25"/>
      <w:r w:rsidRPr="00CF155F">
        <w:rPr>
          <w:rFonts w:ascii="Times New Roman" w:hAnsi="Times New Roman" w:cs="Times New Roman"/>
          <w:sz w:val="28"/>
          <w:szCs w:val="28"/>
          <w:shd w:val="clear" w:color="auto" w:fill="FFFFFF"/>
        </w:rPr>
        <w:t>.</w:t>
      </w:r>
    </w:p>
    <w:p w14:paraId="112CCCFD" w14:textId="0A082668" w:rsidR="00442AD0" w:rsidRPr="00291537" w:rsidRDefault="00714119" w:rsidP="00F94DBD">
      <w:pPr>
        <w:tabs>
          <w:tab w:val="left" w:pos="426"/>
        </w:tabs>
        <w:spacing w:after="200" w:line="276" w:lineRule="auto"/>
        <w:ind w:left="426" w:hanging="426"/>
        <w:rPr>
          <w:i/>
          <w:iCs/>
        </w:rPr>
      </w:pPr>
      <w:bookmarkStart w:id="26" w:name="_Ref94946625"/>
      <w:r w:rsidRPr="00CF155F">
        <w:rPr>
          <w:rFonts w:ascii="Times New Roman" w:hAnsi="Times New Roman" w:cs="Times New Roman"/>
          <w:sz w:val="28"/>
          <w:szCs w:val="28"/>
          <w:shd w:val="clear" w:color="auto" w:fill="FFFFFF"/>
        </w:rPr>
        <w:t xml:space="preserve">Price index for construction works. </w:t>
      </w:r>
      <w:r w:rsidR="00CF00C9" w:rsidRPr="00CF155F">
        <w:rPr>
          <w:rFonts w:ascii="Times New Roman" w:hAnsi="Times New Roman" w:cs="Times New Roman"/>
          <w:sz w:val="28"/>
          <w:szCs w:val="28"/>
          <w:shd w:val="clear" w:color="auto" w:fill="FFFFFF"/>
        </w:rPr>
        <w:t>Ministry of Finance of Ukraine</w:t>
      </w:r>
      <w:r w:rsidRPr="00CF155F">
        <w:rPr>
          <w:rFonts w:ascii="Times New Roman" w:hAnsi="Times New Roman" w:cs="Times New Roman"/>
          <w:sz w:val="28"/>
          <w:szCs w:val="28"/>
          <w:shd w:val="clear" w:color="auto" w:fill="FFFFFF"/>
        </w:rPr>
        <w:t xml:space="preserve">. Retrieved from </w:t>
      </w:r>
      <w:bookmarkEnd w:id="26"/>
      <w:r w:rsidRPr="00291537">
        <w:rPr>
          <w:rFonts w:ascii="Times New Roman" w:hAnsi="Times New Roman" w:cs="Times New Roman"/>
          <w:i/>
          <w:iCs/>
          <w:sz w:val="28"/>
          <w:szCs w:val="28"/>
          <w:shd w:val="clear" w:color="auto" w:fill="FFFFFF"/>
        </w:rPr>
        <w:t>https://index.minfin.com.ua/economy/index/buildprice/</w:t>
      </w:r>
    </w:p>
    <w:p w14:paraId="7EC0CB24" w14:textId="77777777" w:rsidR="00442AD0" w:rsidRDefault="00714119" w:rsidP="00F94DBD">
      <w:pPr>
        <w:tabs>
          <w:tab w:val="left" w:pos="426"/>
        </w:tabs>
        <w:spacing w:after="200" w:line="276" w:lineRule="auto"/>
        <w:ind w:left="426" w:hanging="426"/>
      </w:pPr>
      <w:proofErr w:type="spellStart"/>
      <w:r w:rsidRPr="00CF155F">
        <w:rPr>
          <w:rFonts w:ascii="Times New Roman" w:hAnsi="Times New Roman" w:cs="Times New Roman"/>
          <w:sz w:val="28"/>
          <w:szCs w:val="28"/>
          <w:shd w:val="clear" w:color="auto" w:fill="FFFFFF"/>
        </w:rPr>
        <w:t>Pshinko</w:t>
      </w:r>
      <w:proofErr w:type="spellEnd"/>
      <w:r w:rsidRPr="00CF155F">
        <w:rPr>
          <w:rFonts w:ascii="Times New Roman" w:hAnsi="Times New Roman" w:cs="Times New Roman"/>
          <w:sz w:val="28"/>
          <w:szCs w:val="28"/>
          <w:shd w:val="clear" w:color="auto" w:fill="FFFFFF"/>
        </w:rPr>
        <w:t xml:space="preserve">, A., </w:t>
      </w:r>
      <w:proofErr w:type="spellStart"/>
      <w:r w:rsidRPr="00CF155F">
        <w:rPr>
          <w:rFonts w:ascii="Times New Roman" w:hAnsi="Times New Roman" w:cs="Times New Roman"/>
          <w:sz w:val="28"/>
          <w:szCs w:val="28"/>
          <w:shd w:val="clear" w:color="auto" w:fill="FFFFFF"/>
        </w:rPr>
        <w:t>Myamlin</w:t>
      </w:r>
      <w:proofErr w:type="spellEnd"/>
      <w:r w:rsidRPr="00CF155F">
        <w:rPr>
          <w:rFonts w:ascii="Times New Roman" w:hAnsi="Times New Roman" w:cs="Times New Roman"/>
          <w:sz w:val="28"/>
          <w:szCs w:val="28"/>
          <w:shd w:val="clear" w:color="auto" w:fill="FFFFFF"/>
        </w:rPr>
        <w:t xml:space="preserve">, V., </w:t>
      </w:r>
      <w:proofErr w:type="spellStart"/>
      <w:r w:rsidRPr="00CF155F">
        <w:rPr>
          <w:rFonts w:ascii="Times New Roman" w:hAnsi="Times New Roman" w:cs="Times New Roman"/>
          <w:sz w:val="28"/>
          <w:szCs w:val="28"/>
          <w:shd w:val="clear" w:color="auto" w:fill="FFFFFF"/>
        </w:rPr>
        <w:t>Myamlin</w:t>
      </w:r>
      <w:proofErr w:type="spellEnd"/>
      <w:r w:rsidRPr="00CF155F">
        <w:rPr>
          <w:rFonts w:ascii="Times New Roman" w:hAnsi="Times New Roman" w:cs="Times New Roman"/>
          <w:sz w:val="28"/>
          <w:szCs w:val="28"/>
          <w:shd w:val="clear" w:color="auto" w:fill="FFFFFF"/>
        </w:rPr>
        <w:t xml:space="preserve">, S. (2012). Influence of the velocity of circulation of the money supply on the efficiency of the national economy. Science and </w:t>
      </w:r>
      <w:r w:rsidRPr="00CF155F">
        <w:rPr>
          <w:rFonts w:ascii="Times New Roman" w:hAnsi="Times New Roman" w:cs="Times New Roman"/>
          <w:sz w:val="28"/>
          <w:szCs w:val="28"/>
          <w:shd w:val="clear" w:color="auto" w:fill="FFFFFF"/>
        </w:rPr>
        <w:lastRenderedPageBreak/>
        <w:t xml:space="preserve">progress of transport. Bulletin of the Dnepropetrovsk National University of Railway Transport. </w:t>
      </w:r>
      <w:r w:rsidRPr="00CE2051">
        <w:rPr>
          <w:rFonts w:ascii="Times New Roman" w:hAnsi="Times New Roman" w:cs="Times New Roman"/>
          <w:sz w:val="28"/>
          <w:szCs w:val="28"/>
          <w:shd w:val="clear" w:color="auto" w:fill="FFFFFF"/>
        </w:rPr>
        <w:t>№</w:t>
      </w:r>
      <w:r w:rsidRPr="00CF155F">
        <w:rPr>
          <w:rFonts w:ascii="Times New Roman" w:hAnsi="Times New Roman" w:cs="Times New Roman"/>
          <w:sz w:val="28"/>
          <w:szCs w:val="28"/>
          <w:shd w:val="clear" w:color="auto" w:fill="FFFFFF"/>
        </w:rPr>
        <w:t xml:space="preserve"> 42. [in Ukrainian].</w:t>
      </w:r>
    </w:p>
    <w:p w14:paraId="453E1DFD" w14:textId="29997053" w:rsidR="00442AD0" w:rsidRDefault="00714119" w:rsidP="00F94DBD">
      <w:pPr>
        <w:tabs>
          <w:tab w:val="left" w:pos="426"/>
        </w:tabs>
        <w:spacing w:after="200" w:line="276" w:lineRule="auto"/>
        <w:ind w:left="426" w:hanging="426"/>
      </w:pPr>
      <w:bookmarkStart w:id="27" w:name="_Ref94946636"/>
      <w:r w:rsidRPr="00CF155F">
        <w:rPr>
          <w:rFonts w:ascii="Times New Roman" w:hAnsi="Times New Roman" w:cs="Times New Roman"/>
          <w:sz w:val="28"/>
          <w:szCs w:val="28"/>
          <w:shd w:val="clear" w:color="auto" w:fill="FFFFFF"/>
        </w:rPr>
        <w:t xml:space="preserve">Fumio Hayashi. (2001). The 1990s in Japan: A Lost Decade. </w:t>
      </w:r>
      <w:r w:rsidR="00AB15FB" w:rsidRPr="00CF155F">
        <w:rPr>
          <w:rFonts w:ascii="Times New Roman" w:hAnsi="Times New Roman" w:cs="Times New Roman"/>
          <w:sz w:val="28"/>
          <w:szCs w:val="28"/>
          <w:shd w:val="clear" w:color="auto" w:fill="FFFFFF"/>
        </w:rPr>
        <w:t xml:space="preserve">The </w:t>
      </w:r>
      <w:r w:rsidRPr="00CF155F">
        <w:rPr>
          <w:rFonts w:ascii="Times New Roman" w:hAnsi="Times New Roman" w:cs="Times New Roman"/>
          <w:sz w:val="28"/>
          <w:szCs w:val="28"/>
          <w:shd w:val="clear" w:color="auto" w:fill="FFFFFF"/>
        </w:rPr>
        <w:t>University of Tokyo.</w:t>
      </w:r>
      <w:bookmarkEnd w:id="27"/>
      <w:r w:rsidRPr="00CF155F">
        <w:rPr>
          <w:rFonts w:ascii="Times New Roman" w:hAnsi="Times New Roman" w:cs="Times New Roman"/>
          <w:sz w:val="28"/>
          <w:szCs w:val="28"/>
          <w:shd w:val="clear" w:color="auto" w:fill="FFFFFF"/>
        </w:rPr>
        <w:t xml:space="preserve"> DOI: </w:t>
      </w:r>
      <w:hyperlink r:id="rId19" w:tgtFrame="_blank">
        <w:r w:rsidRPr="00CF155F">
          <w:rPr>
            <w:rStyle w:val="a6"/>
            <w:rFonts w:ascii="Times New Roman" w:hAnsi="Times New Roman" w:cs="Times New Roman"/>
            <w:i/>
            <w:iCs/>
            <w:color w:val="000000"/>
            <w:sz w:val="28"/>
            <w:szCs w:val="28"/>
            <w:u w:val="none"/>
            <w:shd w:val="clear" w:color="auto" w:fill="FFFFFF"/>
          </w:rPr>
          <w:t>https://doi.org/10.1006/redy.2001.0149</w:t>
        </w:r>
      </w:hyperlink>
      <w:r w:rsidRPr="00CF155F">
        <w:rPr>
          <w:rFonts w:ascii="Times New Roman" w:hAnsi="Times New Roman" w:cs="Times New Roman"/>
          <w:i/>
          <w:iCs/>
          <w:sz w:val="28"/>
          <w:szCs w:val="28"/>
          <w:shd w:val="clear" w:color="auto" w:fill="FFFFFF"/>
        </w:rPr>
        <w:t>.</w:t>
      </w:r>
    </w:p>
    <w:p w14:paraId="7B113AC3" w14:textId="77777777" w:rsidR="00442AD0" w:rsidRDefault="00714119" w:rsidP="00F94DBD">
      <w:pPr>
        <w:tabs>
          <w:tab w:val="left" w:pos="426"/>
        </w:tabs>
        <w:spacing w:after="200" w:line="276" w:lineRule="auto"/>
        <w:ind w:left="426" w:hanging="426"/>
      </w:pPr>
      <w:r w:rsidRPr="00CF155F">
        <w:rPr>
          <w:rFonts w:ascii="Times New Roman" w:hAnsi="Times New Roman" w:cs="Times New Roman"/>
          <w:sz w:val="28"/>
          <w:szCs w:val="28"/>
          <w:shd w:val="clear" w:color="auto" w:fill="FFFFFF"/>
        </w:rPr>
        <w:t xml:space="preserve">China's Potential Loss </w:t>
      </w:r>
      <w:proofErr w:type="gramStart"/>
      <w:r w:rsidRPr="00CF155F">
        <w:rPr>
          <w:rFonts w:ascii="Times New Roman" w:hAnsi="Times New Roman" w:cs="Times New Roman"/>
          <w:sz w:val="28"/>
          <w:szCs w:val="28"/>
          <w:shd w:val="clear" w:color="auto" w:fill="FFFFFF"/>
        </w:rPr>
        <w:t>From</w:t>
      </w:r>
      <w:proofErr w:type="gramEnd"/>
      <w:r w:rsidRPr="00CF155F">
        <w:rPr>
          <w:rFonts w:ascii="Times New Roman" w:hAnsi="Times New Roman" w:cs="Times New Roman"/>
          <w:sz w:val="28"/>
          <w:szCs w:val="28"/>
          <w:shd w:val="clear" w:color="auto" w:fill="FFFFFF"/>
        </w:rPr>
        <w:t xml:space="preserve"> NPLs Estimated At $1 Trillion. (2016). RBC. Retrieved from </w:t>
      </w:r>
      <w:r w:rsidRPr="00CF155F">
        <w:rPr>
          <w:rFonts w:ascii="Times New Roman" w:hAnsi="Times New Roman" w:cs="Times New Roman"/>
          <w:i/>
          <w:iCs/>
          <w:sz w:val="28"/>
          <w:szCs w:val="28"/>
        </w:rPr>
        <w:t>https://www.rbc.ru/finances/06/05/2016/572c79239a7947861367effd</w:t>
      </w:r>
    </w:p>
    <w:p w14:paraId="5F085275" w14:textId="0AFF0A38" w:rsidR="00442AD0" w:rsidRDefault="00714119" w:rsidP="00F94DBD">
      <w:pPr>
        <w:tabs>
          <w:tab w:val="left" w:pos="426"/>
        </w:tabs>
        <w:spacing w:after="200" w:line="276" w:lineRule="auto"/>
        <w:ind w:left="426" w:hanging="426"/>
      </w:pPr>
      <w:bookmarkStart w:id="28" w:name="_Ref95041636"/>
      <w:proofErr w:type="spellStart"/>
      <w:r w:rsidRPr="00CF155F">
        <w:rPr>
          <w:rFonts w:ascii="Times New Roman" w:hAnsi="Times New Roman" w:cs="Times New Roman"/>
          <w:sz w:val="28"/>
          <w:szCs w:val="28"/>
          <w:shd w:val="clear" w:color="auto" w:fill="FFFFFF"/>
        </w:rPr>
        <w:t>Kartaev</w:t>
      </w:r>
      <w:proofErr w:type="spellEnd"/>
      <w:r w:rsidRPr="00CF155F">
        <w:rPr>
          <w:rFonts w:ascii="Times New Roman" w:hAnsi="Times New Roman" w:cs="Times New Roman"/>
          <w:sz w:val="28"/>
          <w:szCs w:val="28"/>
          <w:shd w:val="clear" w:color="auto" w:fill="FFFFFF"/>
        </w:rPr>
        <w:t xml:space="preserve">, F. (2019). How inflation targeting influences economic growth. </w:t>
      </w:r>
      <w:proofErr w:type="spellStart"/>
      <w:r w:rsidRPr="00CF155F">
        <w:rPr>
          <w:rFonts w:ascii="Times New Roman" w:hAnsi="Times New Roman" w:cs="Times New Roman"/>
          <w:sz w:val="28"/>
          <w:szCs w:val="28"/>
          <w:shd w:val="clear" w:color="auto" w:fill="FFFFFF"/>
          <w:lang w:val="de-DE"/>
        </w:rPr>
        <w:t>Ekons</w:t>
      </w:r>
      <w:proofErr w:type="spellEnd"/>
      <w:r w:rsidRPr="00CF155F">
        <w:rPr>
          <w:rFonts w:ascii="Times New Roman" w:hAnsi="Times New Roman" w:cs="Times New Roman"/>
          <w:sz w:val="28"/>
          <w:szCs w:val="28"/>
          <w:shd w:val="clear" w:color="auto" w:fill="FFFFFF"/>
          <w:lang w:val="de-DE"/>
        </w:rPr>
        <w:t>.</w:t>
      </w:r>
      <w:r w:rsidRPr="00CF155F">
        <w:rPr>
          <w:rFonts w:ascii="Times New Roman" w:hAnsi="Times New Roman" w:cs="Times New Roman"/>
          <w:sz w:val="28"/>
          <w:szCs w:val="28"/>
          <w:lang w:val="de-DE"/>
        </w:rPr>
        <w:t xml:space="preserve"> </w:t>
      </w:r>
      <w:r w:rsidRPr="00CF155F">
        <w:rPr>
          <w:rFonts w:ascii="Times New Roman" w:hAnsi="Times New Roman" w:cs="Times New Roman"/>
          <w:sz w:val="28"/>
          <w:szCs w:val="28"/>
        </w:rPr>
        <w:t>Retrieved from</w:t>
      </w:r>
      <w:bookmarkEnd w:id="28"/>
      <w:r w:rsidRPr="00CF155F">
        <w:rPr>
          <w:rFonts w:ascii="Times New Roman" w:hAnsi="Times New Roman" w:cs="Times New Roman"/>
          <w:sz w:val="28"/>
          <w:szCs w:val="28"/>
        </w:rPr>
        <w:t xml:space="preserve"> </w:t>
      </w:r>
      <w:r w:rsidRPr="00291537">
        <w:rPr>
          <w:rFonts w:ascii="Times New Roman" w:hAnsi="Times New Roman" w:cs="Times New Roman"/>
          <w:i/>
          <w:iCs/>
          <w:sz w:val="28"/>
          <w:szCs w:val="28"/>
        </w:rPr>
        <w:t>https://econs.online/articles/opinions/kak-inflyatsionnoe-targetirovanie-vliyaet-na-rost/</w:t>
      </w:r>
      <w:r w:rsidRPr="00CF155F">
        <w:rPr>
          <w:rFonts w:ascii="Times New Roman" w:hAnsi="Times New Roman" w:cs="Times New Roman"/>
          <w:sz w:val="28"/>
          <w:szCs w:val="28"/>
        </w:rPr>
        <w:t xml:space="preserve"> [in Russian].</w:t>
      </w:r>
    </w:p>
    <w:p w14:paraId="5D504A03" w14:textId="77777777" w:rsidR="00442AD0" w:rsidRDefault="00714119" w:rsidP="00F94DBD">
      <w:pPr>
        <w:tabs>
          <w:tab w:val="left" w:pos="426"/>
        </w:tabs>
        <w:spacing w:after="200" w:line="276" w:lineRule="auto"/>
        <w:ind w:left="426" w:hanging="426"/>
      </w:pPr>
      <w:bookmarkStart w:id="29" w:name="_Ref95041520"/>
      <w:proofErr w:type="spellStart"/>
      <w:r w:rsidRPr="00CF155F">
        <w:rPr>
          <w:rFonts w:ascii="Times New Roman" w:hAnsi="Times New Roman" w:cs="Times New Roman"/>
          <w:sz w:val="28"/>
          <w:szCs w:val="28"/>
          <w:shd w:val="clear" w:color="auto" w:fill="FFFFFF"/>
        </w:rPr>
        <w:t>Kartaev</w:t>
      </w:r>
      <w:proofErr w:type="spellEnd"/>
      <w:r w:rsidRPr="00CF155F">
        <w:rPr>
          <w:rFonts w:ascii="Times New Roman" w:hAnsi="Times New Roman" w:cs="Times New Roman"/>
          <w:sz w:val="28"/>
          <w:szCs w:val="28"/>
          <w:shd w:val="clear" w:color="auto" w:fill="FFFFFF"/>
        </w:rPr>
        <w:t>, F. (2018). Assessment of the impact of monetary policy on economic growth for various groups of countries. Finance: theory and practice. T. 22,</w:t>
      </w:r>
      <w:r w:rsidRPr="00CF155F">
        <w:rPr>
          <w:rFonts w:ascii="Times New Roman" w:hAnsi="Times New Roman" w:cs="Times New Roman"/>
          <w:sz w:val="28"/>
          <w:szCs w:val="28"/>
        </w:rPr>
        <w:t xml:space="preserve"> №1</w:t>
      </w:r>
      <w:bookmarkEnd w:id="29"/>
      <w:r w:rsidRPr="00CF155F">
        <w:rPr>
          <w:rFonts w:ascii="Times New Roman" w:hAnsi="Times New Roman" w:cs="Times New Roman"/>
          <w:sz w:val="28"/>
          <w:szCs w:val="28"/>
        </w:rPr>
        <w:t>. [in Russian].</w:t>
      </w:r>
    </w:p>
    <w:p w14:paraId="6C344A6D" w14:textId="77777777" w:rsidR="00442AD0" w:rsidRDefault="00714119" w:rsidP="00F94DBD">
      <w:pPr>
        <w:tabs>
          <w:tab w:val="left" w:pos="426"/>
        </w:tabs>
        <w:spacing w:after="200" w:line="276" w:lineRule="auto"/>
        <w:ind w:left="426" w:hanging="426"/>
      </w:pPr>
      <w:bookmarkStart w:id="30" w:name="_Ref95041553"/>
      <w:proofErr w:type="spellStart"/>
      <w:r w:rsidRPr="00CF155F">
        <w:rPr>
          <w:rFonts w:ascii="Times New Roman" w:hAnsi="Times New Roman" w:cs="Times New Roman"/>
          <w:sz w:val="28"/>
          <w:szCs w:val="28"/>
        </w:rPr>
        <w:t>Klochkova</w:t>
      </w:r>
      <w:proofErr w:type="spellEnd"/>
      <w:r w:rsidRPr="00CF155F">
        <w:rPr>
          <w:rFonts w:ascii="Times New Roman" w:hAnsi="Times New Roman" w:cs="Times New Roman"/>
          <w:sz w:val="28"/>
          <w:szCs w:val="28"/>
        </w:rPr>
        <w:t xml:space="preserve">, O. (2017). Modeling the impact of inflation on economic growth for countries with different levels of economic freedom. Economic policy. </w:t>
      </w:r>
      <w:r w:rsidRPr="00CF155F">
        <w:rPr>
          <w:rFonts w:ascii="Times New Roman" w:hAnsi="Times New Roman" w:cs="Times New Roman"/>
          <w:sz w:val="28"/>
          <w:szCs w:val="28"/>
          <w:lang w:val="ru-RU"/>
        </w:rPr>
        <w:t>Т</w:t>
      </w:r>
      <w:r w:rsidRPr="00CE2051">
        <w:rPr>
          <w:rFonts w:ascii="Times New Roman" w:hAnsi="Times New Roman" w:cs="Times New Roman"/>
          <w:sz w:val="28"/>
          <w:szCs w:val="28"/>
        </w:rPr>
        <w:t xml:space="preserve">. 12. № 5. </w:t>
      </w:r>
      <w:r w:rsidRPr="00CF155F">
        <w:rPr>
          <w:rFonts w:ascii="Times New Roman" w:hAnsi="Times New Roman" w:cs="Times New Roman"/>
          <w:sz w:val="28"/>
          <w:szCs w:val="28"/>
        </w:rPr>
        <w:t>p</w:t>
      </w:r>
      <w:r w:rsidRPr="00CE2051">
        <w:rPr>
          <w:rFonts w:ascii="Times New Roman" w:hAnsi="Times New Roman" w:cs="Times New Roman"/>
          <w:sz w:val="28"/>
          <w:szCs w:val="28"/>
        </w:rPr>
        <w:t>. 22–41.</w:t>
      </w:r>
      <w:bookmarkEnd w:id="30"/>
    </w:p>
    <w:p w14:paraId="2D1822AC" w14:textId="77777777" w:rsidR="00442AD0" w:rsidRDefault="00714119" w:rsidP="00F94DBD">
      <w:pPr>
        <w:tabs>
          <w:tab w:val="left" w:pos="426"/>
        </w:tabs>
        <w:spacing w:after="200" w:line="276" w:lineRule="auto"/>
        <w:ind w:left="426" w:hanging="426"/>
      </w:pPr>
      <w:bookmarkStart w:id="31" w:name="_Ref94946678"/>
      <w:r w:rsidRPr="00CF155F">
        <w:rPr>
          <w:rFonts w:ascii="Times New Roman" w:hAnsi="Times New Roman" w:cs="Times New Roman"/>
          <w:sz w:val="28"/>
          <w:szCs w:val="28"/>
          <w:shd w:val="clear" w:color="auto" w:fill="FFFFFF"/>
        </w:rPr>
        <w:t xml:space="preserve">World Bank. </w:t>
      </w:r>
      <w:r w:rsidRPr="00CF155F">
        <w:rPr>
          <w:rFonts w:ascii="Times New Roman" w:hAnsi="Times New Roman" w:cs="Times New Roman"/>
          <w:sz w:val="28"/>
          <w:szCs w:val="28"/>
        </w:rPr>
        <w:t xml:space="preserve">Retrieved from </w:t>
      </w:r>
      <w:r w:rsidRPr="00CF155F">
        <w:rPr>
          <w:rFonts w:ascii="Times New Roman" w:hAnsi="Times New Roman" w:cs="Times New Roman"/>
          <w:i/>
          <w:iCs/>
          <w:sz w:val="28"/>
          <w:szCs w:val="28"/>
          <w:shd w:val="clear" w:color="auto" w:fill="FFFFFF"/>
        </w:rPr>
        <w:t>https://www.worldbank.org</w:t>
      </w:r>
      <w:bookmarkEnd w:id="31"/>
    </w:p>
    <w:p w14:paraId="11F6E9B1" w14:textId="77777777" w:rsidR="00442AD0" w:rsidRDefault="00714119" w:rsidP="00F94DBD">
      <w:pPr>
        <w:tabs>
          <w:tab w:val="left" w:pos="426"/>
        </w:tabs>
        <w:spacing w:after="200" w:line="276" w:lineRule="auto"/>
        <w:ind w:left="426" w:hanging="426"/>
      </w:pPr>
      <w:proofErr w:type="spellStart"/>
      <w:r w:rsidRPr="00CF155F">
        <w:rPr>
          <w:rFonts w:ascii="Times New Roman" w:hAnsi="Times New Roman" w:cs="Times New Roman"/>
          <w:sz w:val="28"/>
          <w:szCs w:val="28"/>
        </w:rPr>
        <w:t>Kelion</w:t>
      </w:r>
      <w:proofErr w:type="spellEnd"/>
      <w:r w:rsidRPr="00CF155F">
        <w:rPr>
          <w:rFonts w:ascii="Times New Roman" w:hAnsi="Times New Roman" w:cs="Times New Roman"/>
          <w:sz w:val="28"/>
          <w:szCs w:val="28"/>
        </w:rPr>
        <w:t xml:space="preserve">, L. (2021, February 5). The world is running out of chips. What does the coronavirus have to do with it and what will happen to electronics </w:t>
      </w:r>
      <w:proofErr w:type="gramStart"/>
      <w:r w:rsidRPr="00CF155F">
        <w:rPr>
          <w:rFonts w:ascii="Times New Roman" w:hAnsi="Times New Roman" w:cs="Times New Roman"/>
          <w:sz w:val="28"/>
          <w:szCs w:val="28"/>
        </w:rPr>
        <w:t>no</w:t>
      </w:r>
      <w:bookmarkStart w:id="32" w:name="_Ref94946694"/>
      <w:r w:rsidRPr="00CF155F">
        <w:rPr>
          <w:rFonts w:ascii="Times New Roman" w:hAnsi="Times New Roman" w:cs="Times New Roman"/>
          <w:sz w:val="28"/>
          <w:szCs w:val="28"/>
        </w:rPr>
        <w:t>w</w:t>
      </w:r>
      <w:bookmarkEnd w:id="32"/>
      <w:r w:rsidRPr="00CF155F">
        <w:rPr>
          <w:rFonts w:ascii="Times New Roman" w:hAnsi="Times New Roman" w:cs="Times New Roman"/>
          <w:sz w:val="28"/>
          <w:szCs w:val="28"/>
        </w:rPr>
        <w:t>.</w:t>
      </w:r>
      <w:proofErr w:type="gramEnd"/>
      <w:r w:rsidRPr="00CF155F">
        <w:rPr>
          <w:rFonts w:ascii="Times New Roman" w:hAnsi="Times New Roman" w:cs="Times New Roman"/>
          <w:sz w:val="28"/>
          <w:szCs w:val="28"/>
        </w:rPr>
        <w:t xml:space="preserve"> BBC. Retrieved from </w:t>
      </w:r>
      <w:hyperlink r:id="rId20">
        <w:r w:rsidRPr="00CF155F">
          <w:rPr>
            <w:rStyle w:val="a6"/>
            <w:rFonts w:ascii="Times New Roman" w:hAnsi="Times New Roman" w:cs="Times New Roman"/>
            <w:i/>
            <w:iCs/>
            <w:color w:val="000000"/>
            <w:sz w:val="28"/>
            <w:szCs w:val="28"/>
            <w:u w:val="none"/>
          </w:rPr>
          <w:t>https://www.bbc.com/russian/news-55950090</w:t>
        </w:r>
      </w:hyperlink>
      <w:r w:rsidRPr="00CF155F">
        <w:rPr>
          <w:rFonts w:ascii="Times New Roman" w:hAnsi="Times New Roman" w:cs="Times New Roman"/>
          <w:sz w:val="28"/>
          <w:szCs w:val="28"/>
        </w:rPr>
        <w:t xml:space="preserve"> [in Russian]. </w:t>
      </w:r>
    </w:p>
    <w:p w14:paraId="486FF089" w14:textId="12B4340E" w:rsidR="00442AD0" w:rsidRDefault="00714119" w:rsidP="00F94DBD">
      <w:pPr>
        <w:tabs>
          <w:tab w:val="left" w:pos="426"/>
        </w:tabs>
        <w:spacing w:after="200" w:line="276" w:lineRule="auto"/>
        <w:ind w:left="426" w:hanging="426"/>
      </w:pPr>
      <w:bookmarkStart w:id="33" w:name="_Ref94946716"/>
      <w:r w:rsidRPr="00CF155F">
        <w:rPr>
          <w:rFonts w:ascii="Times New Roman" w:hAnsi="Times New Roman" w:cs="Times New Roman"/>
          <w:sz w:val="28"/>
          <w:szCs w:val="28"/>
          <w:shd w:val="clear" w:color="auto" w:fill="FFFFFF"/>
        </w:rPr>
        <w:t xml:space="preserve">Scikit-learn. </w:t>
      </w:r>
      <w:r w:rsidRPr="00CF155F">
        <w:rPr>
          <w:rFonts w:ascii="Times New Roman" w:hAnsi="Times New Roman" w:cs="Times New Roman"/>
          <w:sz w:val="28"/>
          <w:szCs w:val="28"/>
        </w:rPr>
        <w:t>Retrieved from</w:t>
      </w:r>
      <w:r w:rsidRPr="00CF155F">
        <w:rPr>
          <w:rFonts w:ascii="Times New Roman" w:hAnsi="Times New Roman" w:cs="Times New Roman"/>
          <w:i/>
          <w:iCs/>
          <w:sz w:val="28"/>
          <w:szCs w:val="28"/>
          <w:shd w:val="clear" w:color="auto" w:fill="FFFFFF"/>
        </w:rPr>
        <w:t xml:space="preserve"> </w:t>
      </w:r>
      <w:bookmarkEnd w:id="33"/>
      <w:r w:rsidRPr="00CF155F">
        <w:rPr>
          <w:rFonts w:ascii="Times New Roman" w:hAnsi="Times New Roman" w:cs="Times New Roman"/>
          <w:i/>
          <w:iCs/>
          <w:sz w:val="28"/>
          <w:szCs w:val="28"/>
          <w:shd w:val="clear" w:color="auto" w:fill="FFFFFF"/>
        </w:rPr>
        <w:t>https://scikit-learn.org/</w:t>
      </w:r>
    </w:p>
    <w:p w14:paraId="096B8B51" w14:textId="20B96517" w:rsidR="00442AD0" w:rsidRPr="00CF7BBB" w:rsidRDefault="00714119" w:rsidP="00F94DBD">
      <w:pPr>
        <w:tabs>
          <w:tab w:val="left" w:pos="426"/>
        </w:tabs>
        <w:spacing w:after="200" w:line="276" w:lineRule="auto"/>
        <w:ind w:left="426" w:hanging="426"/>
        <w:rPr>
          <w:i/>
          <w:iCs/>
        </w:rPr>
      </w:pPr>
      <w:proofErr w:type="spellStart"/>
      <w:r w:rsidRPr="00CF155F">
        <w:rPr>
          <w:rStyle w:val="StrongEmphasis"/>
          <w:rFonts w:ascii="Times New Roman" w:hAnsi="Times New Roman" w:cs="Times New Roman"/>
          <w:b w:val="0"/>
          <w:bCs w:val="0"/>
          <w:sz w:val="28"/>
          <w:szCs w:val="28"/>
          <w:shd w:val="clear" w:color="auto" w:fill="FFFFFF"/>
        </w:rPr>
        <w:t>Lypnytska</w:t>
      </w:r>
      <w:proofErr w:type="spellEnd"/>
      <w:r w:rsidRPr="00CF155F">
        <w:rPr>
          <w:rStyle w:val="StrongEmphasis"/>
          <w:rFonts w:ascii="Times New Roman" w:hAnsi="Times New Roman" w:cs="Times New Roman"/>
          <w:b w:val="0"/>
          <w:bCs w:val="0"/>
          <w:sz w:val="28"/>
          <w:szCs w:val="28"/>
          <w:shd w:val="clear" w:color="auto" w:fill="FFFFFF"/>
        </w:rPr>
        <w:t xml:space="preserve">, P. </w:t>
      </w:r>
      <w:bookmarkStart w:id="34" w:name="_Ref94946727"/>
      <w:r w:rsidRPr="00CF155F">
        <w:rPr>
          <w:rFonts w:ascii="Times New Roman" w:hAnsi="Times New Roman" w:cs="Times New Roman"/>
          <w:sz w:val="28"/>
          <w:szCs w:val="28"/>
          <w:shd w:val="clear" w:color="auto" w:fill="FFFFFF"/>
        </w:rPr>
        <w:t xml:space="preserve">GitHub. </w:t>
      </w:r>
      <w:hyperlink r:id="rId21">
        <w:r w:rsidR="000D7F21" w:rsidRPr="00CF155F">
          <w:rPr>
            <w:rStyle w:val="a6"/>
            <w:rFonts w:ascii="Times New Roman" w:hAnsi="Times New Roman" w:cs="Times New Roman"/>
            <w:color w:val="000000"/>
            <w:sz w:val="28"/>
            <w:szCs w:val="28"/>
            <w:u w:val="none"/>
            <w:shd w:val="clear" w:color="auto" w:fill="FFFFFF"/>
          </w:rPr>
          <w:t>InvestM</w:t>
        </w:r>
        <w:r w:rsidR="000D7F21">
          <w:rPr>
            <w:rStyle w:val="a6"/>
            <w:rFonts w:ascii="Times New Roman" w:hAnsi="Times New Roman" w:cs="Times New Roman"/>
            <w:color w:val="000000"/>
            <w:sz w:val="28"/>
            <w:szCs w:val="28"/>
            <w:u w:val="none"/>
            <w:shd w:val="clear" w:color="auto" w:fill="FFFFFF"/>
          </w:rPr>
          <w:t>3</w:t>
        </w:r>
        <w:r w:rsidR="000D7F21" w:rsidRPr="00CF155F">
          <w:rPr>
            <w:rStyle w:val="a6"/>
            <w:rFonts w:ascii="Times New Roman" w:hAnsi="Times New Roman" w:cs="Times New Roman"/>
            <w:color w:val="000000"/>
            <w:sz w:val="28"/>
            <w:szCs w:val="28"/>
            <w:u w:val="none"/>
            <w:shd w:val="clear" w:color="auto" w:fill="FFFFFF"/>
          </w:rPr>
          <w:t>World</w:t>
        </w:r>
      </w:hyperlink>
      <w:r w:rsidR="000D7F21" w:rsidRPr="00CF155F">
        <w:rPr>
          <w:rFonts w:ascii="Times New Roman" w:hAnsi="Times New Roman" w:cs="Times New Roman"/>
          <w:sz w:val="28"/>
          <w:szCs w:val="28"/>
          <w:shd w:val="clear" w:color="auto" w:fill="FFFFFF"/>
        </w:rPr>
        <w:t xml:space="preserve">. </w:t>
      </w:r>
      <w:r w:rsidRPr="00CF155F">
        <w:rPr>
          <w:rFonts w:ascii="Times New Roman" w:hAnsi="Times New Roman" w:cs="Times New Roman"/>
          <w:sz w:val="28"/>
          <w:szCs w:val="28"/>
        </w:rPr>
        <w:t>Retrieved from</w:t>
      </w:r>
      <w:bookmarkEnd w:id="34"/>
      <w:r w:rsidRPr="00CF155F">
        <w:rPr>
          <w:rFonts w:ascii="Times New Roman" w:hAnsi="Times New Roman" w:cs="Times New Roman"/>
          <w:sz w:val="28"/>
          <w:szCs w:val="28"/>
        </w:rPr>
        <w:t xml:space="preserve"> </w:t>
      </w:r>
      <w:r w:rsidRPr="00CF7BBB">
        <w:rPr>
          <w:rFonts w:ascii="Times New Roman" w:hAnsi="Times New Roman" w:cs="Times New Roman"/>
          <w:i/>
          <w:iCs/>
          <w:sz w:val="28"/>
          <w:szCs w:val="28"/>
        </w:rPr>
        <w:t>https://github.com/Polinden/InvestM</w:t>
      </w:r>
      <w:r w:rsidR="000D7F21">
        <w:rPr>
          <w:rFonts w:ascii="Times New Roman" w:hAnsi="Times New Roman" w:cs="Times New Roman"/>
          <w:i/>
          <w:iCs/>
          <w:sz w:val="28"/>
          <w:szCs w:val="28"/>
        </w:rPr>
        <w:t>3</w:t>
      </w:r>
      <w:r w:rsidRPr="00CF7BBB">
        <w:rPr>
          <w:rFonts w:ascii="Times New Roman" w:hAnsi="Times New Roman" w:cs="Times New Roman"/>
          <w:i/>
          <w:iCs/>
          <w:sz w:val="28"/>
          <w:szCs w:val="28"/>
        </w:rPr>
        <w:t>World.</w:t>
      </w:r>
    </w:p>
    <w:p w14:paraId="7DCC6A34" w14:textId="77777777" w:rsidR="00442AD0" w:rsidRDefault="00714119" w:rsidP="00F94DBD">
      <w:pPr>
        <w:tabs>
          <w:tab w:val="left" w:pos="426"/>
        </w:tabs>
        <w:spacing w:after="200" w:line="276" w:lineRule="auto"/>
        <w:ind w:left="426" w:hanging="426"/>
      </w:pPr>
      <w:bookmarkStart w:id="35" w:name="_Ref94946819"/>
      <w:r w:rsidRPr="00CF155F">
        <w:rPr>
          <w:rFonts w:ascii="Times New Roman" w:hAnsi="Times New Roman" w:cs="Times New Roman"/>
          <w:color w:val="auto"/>
          <w:sz w:val="28"/>
          <w:szCs w:val="28"/>
        </w:rPr>
        <w:t>All of Sta</w:t>
      </w:r>
      <w:r w:rsidRPr="00CF155F">
        <w:rPr>
          <w:rFonts w:ascii="Times New Roman" w:hAnsi="Times New Roman" w:cs="Times New Roman"/>
          <w:sz w:val="28"/>
          <w:szCs w:val="28"/>
        </w:rPr>
        <w:t>tistics: A Concise Course in Statistical Inference. (2004). Springer. New York. P. 43</w:t>
      </w:r>
      <w:bookmarkEnd w:id="35"/>
      <w:r w:rsidRPr="00CF155F">
        <w:rPr>
          <w:rFonts w:ascii="Times New Roman" w:hAnsi="Times New Roman" w:cs="Times New Roman"/>
          <w:sz w:val="28"/>
          <w:szCs w:val="28"/>
        </w:rPr>
        <w:t>4.</w:t>
      </w:r>
    </w:p>
    <w:p w14:paraId="26134D8B" w14:textId="77777777" w:rsidR="00442AD0" w:rsidRDefault="00714119" w:rsidP="00F94DBD">
      <w:pPr>
        <w:tabs>
          <w:tab w:val="left" w:pos="426"/>
        </w:tabs>
        <w:spacing w:after="200" w:line="276" w:lineRule="auto"/>
        <w:ind w:left="426" w:hanging="426"/>
      </w:pPr>
      <w:bookmarkStart w:id="36" w:name="_Ref95049267"/>
      <w:r w:rsidRPr="00CF155F">
        <w:rPr>
          <w:rFonts w:ascii="Times New Roman" w:hAnsi="Times New Roman" w:cs="Times New Roman"/>
          <w:sz w:val="28"/>
          <w:szCs w:val="28"/>
        </w:rPr>
        <w:t>Hastie, T. (2017). The Elements of Statistical Learning. Springer. New York. P. 745.</w:t>
      </w:r>
      <w:bookmarkEnd w:id="36"/>
    </w:p>
    <w:p w14:paraId="0D7827F0" w14:textId="2C0B5925" w:rsidR="00442AD0" w:rsidRDefault="00714119" w:rsidP="00291537">
      <w:pPr>
        <w:tabs>
          <w:tab w:val="left" w:pos="426"/>
        </w:tabs>
        <w:spacing w:after="200" w:line="276" w:lineRule="auto"/>
        <w:ind w:left="426" w:hanging="426"/>
      </w:pPr>
      <w:bookmarkStart w:id="37" w:name="_Ref94946931"/>
      <w:proofErr w:type="spellStart"/>
      <w:r w:rsidRPr="00CF155F">
        <w:rPr>
          <w:rFonts w:ascii="Times New Roman" w:hAnsi="Times New Roman" w:cs="Times New Roman"/>
          <w:sz w:val="28"/>
          <w:szCs w:val="28"/>
        </w:rPr>
        <w:t>Comaniciu</w:t>
      </w:r>
      <w:proofErr w:type="spellEnd"/>
      <w:r w:rsidRPr="00CF155F">
        <w:rPr>
          <w:rFonts w:ascii="Times New Roman" w:hAnsi="Times New Roman" w:cs="Times New Roman"/>
          <w:sz w:val="28"/>
          <w:szCs w:val="28"/>
        </w:rPr>
        <w:t xml:space="preserve">, D., Meer, P. (2002). Mean Shift: A Robust Approach </w:t>
      </w:r>
      <w:r w:rsidR="00AB15FB" w:rsidRPr="00CF155F">
        <w:rPr>
          <w:rFonts w:ascii="Times New Roman" w:hAnsi="Times New Roman" w:cs="Times New Roman"/>
          <w:sz w:val="28"/>
          <w:szCs w:val="28"/>
        </w:rPr>
        <w:t>Toward</w:t>
      </w:r>
      <w:r w:rsidRPr="00CF155F">
        <w:rPr>
          <w:rFonts w:ascii="Times New Roman" w:hAnsi="Times New Roman" w:cs="Times New Roman"/>
          <w:sz w:val="28"/>
          <w:szCs w:val="28"/>
        </w:rPr>
        <w:t xml:space="preserve"> Feature Space Analysis. </w:t>
      </w:r>
      <w:r w:rsidRPr="00CF155F">
        <w:rPr>
          <w:rStyle w:val="a8"/>
          <w:rFonts w:ascii="Times New Roman" w:eastAsia="Songti SC" w:hAnsi="Times New Roman" w:cs="Times New Roman"/>
          <w:i w:val="0"/>
          <w:kern w:val="2"/>
          <w:sz w:val="28"/>
          <w:szCs w:val="28"/>
          <w:lang w:eastAsia="zh-CN" w:bidi="hi-IN"/>
        </w:rPr>
        <w:t xml:space="preserve">EEE </w:t>
      </w:r>
      <w:r w:rsidRPr="00CF155F">
        <w:rPr>
          <w:rStyle w:val="a8"/>
          <w:rFonts w:ascii="Times New Roman" w:eastAsia="Songti SC" w:hAnsi="Times New Roman" w:cs="Times New Roman"/>
          <w:i w:val="0"/>
          <w:kern w:val="2"/>
          <w:sz w:val="28"/>
          <w:szCs w:val="28"/>
          <w:shd w:val="clear" w:color="auto" w:fill="FFFFFF"/>
          <w:lang w:eastAsia="zh-CN" w:bidi="hi-IN"/>
        </w:rPr>
        <w:t xml:space="preserve">Transactions on Pattern Analysis and Machine Intelligence. </w:t>
      </w:r>
      <w:bookmarkEnd w:id="37"/>
    </w:p>
    <w:sectPr w:rsidR="00442AD0">
      <w:headerReference w:type="default" r:id="rId22"/>
      <w:pgSz w:w="11906" w:h="16838"/>
      <w:pgMar w:top="1134" w:right="567" w:bottom="1134" w:left="1701" w:header="709" w:footer="0" w:gutter="0"/>
      <w:cols w:space="720"/>
      <w:formProt w:val="0"/>
      <w:titlePg/>
      <w:docGrid w:linePitch="299"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34885" w14:textId="77777777" w:rsidR="006468F1" w:rsidRDefault="006468F1">
      <w:r>
        <w:separator/>
      </w:r>
    </w:p>
  </w:endnote>
  <w:endnote w:type="continuationSeparator" w:id="0">
    <w:p w14:paraId="02FE6F53" w14:textId="77777777" w:rsidR="006468F1" w:rsidRDefault="00646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 w:name="Arial Nova Cond Light">
    <w:charset w:val="00"/>
    <w:family w:val="swiss"/>
    <w:pitch w:val="variable"/>
    <w:sig w:usb0="0000028F" w:usb1="00000002" w:usb2="00000000" w:usb3="00000000" w:csb0="0000019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Helvetica Neue">
    <w:altName w:val="Arial"/>
    <w:charset w:val="01"/>
    <w:family w:val="roman"/>
    <w:pitch w:val="variable"/>
  </w:font>
  <w:font w:name="Code">
    <w:altName w:val="Cambria"/>
    <w:charset w:val="01"/>
    <w:family w:val="roman"/>
    <w:pitch w:val="variable"/>
  </w:font>
  <w:font w:name="Liberation Serif">
    <w:altName w:val="Times New Roman"/>
    <w:charset w:val="01"/>
    <w:family w:val="roman"/>
    <w:pitch w:val="variable"/>
  </w:font>
  <w:font w:name="Songti SC">
    <w:panose1 w:val="00000000000000000000"/>
    <w:charset w:val="00"/>
    <w:family w:val="roman"/>
    <w:notTrueType/>
    <w:pitch w:val="default"/>
  </w:font>
  <w:font w:name="Liberation Mono">
    <w:altName w:val="Courier New"/>
    <w:charset w:val="01"/>
    <w:family w:val="roman"/>
    <w:pitch w:val="variable"/>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A044D" w14:textId="77777777" w:rsidR="006468F1" w:rsidRDefault="006468F1">
      <w:r>
        <w:separator/>
      </w:r>
    </w:p>
  </w:footnote>
  <w:footnote w:type="continuationSeparator" w:id="0">
    <w:p w14:paraId="1B1B5EB4" w14:textId="77777777" w:rsidR="006468F1" w:rsidRDefault="00646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535BF" w14:textId="77777777" w:rsidR="00442AD0" w:rsidRDefault="00714119">
    <w:pPr>
      <w:pStyle w:val="af4"/>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w:instrText>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p>
  <w:p w14:paraId="3A9BC384" w14:textId="77777777" w:rsidR="00442AD0" w:rsidRDefault="00442AD0">
    <w:pPr>
      <w:pStyle w:val="af4"/>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3CD0"/>
    <w:multiLevelType w:val="multilevel"/>
    <w:tmpl w:val="6FFA6CBC"/>
    <w:lvl w:ilvl="0">
      <w:start w:val="1"/>
      <w:numFmt w:val="decimal"/>
      <w:lvlText w:val="%1."/>
      <w:lvlJc w:val="left"/>
      <w:pPr>
        <w:tabs>
          <w:tab w:val="num" w:pos="0"/>
        </w:tabs>
        <w:ind w:left="360" w:hanging="360"/>
      </w:pPr>
      <w:rPr>
        <w:color w:val="000000"/>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 w15:restartNumberingAfterBreak="0">
    <w:nsid w:val="611B062B"/>
    <w:multiLevelType w:val="multilevel"/>
    <w:tmpl w:val="9A4CCE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D0"/>
    <w:rsid w:val="00015C87"/>
    <w:rsid w:val="000828AF"/>
    <w:rsid w:val="000A7257"/>
    <w:rsid w:val="000D7F21"/>
    <w:rsid w:val="001468B5"/>
    <w:rsid w:val="001A45AF"/>
    <w:rsid w:val="002414BC"/>
    <w:rsid w:val="00291537"/>
    <w:rsid w:val="00295F52"/>
    <w:rsid w:val="00376EB3"/>
    <w:rsid w:val="003A19F9"/>
    <w:rsid w:val="003F3F98"/>
    <w:rsid w:val="00442AD0"/>
    <w:rsid w:val="00583D2D"/>
    <w:rsid w:val="005C1550"/>
    <w:rsid w:val="00641A71"/>
    <w:rsid w:val="006468F1"/>
    <w:rsid w:val="006D1761"/>
    <w:rsid w:val="00714119"/>
    <w:rsid w:val="00773A75"/>
    <w:rsid w:val="007E78CF"/>
    <w:rsid w:val="00811124"/>
    <w:rsid w:val="008315AB"/>
    <w:rsid w:val="00857C6B"/>
    <w:rsid w:val="00965D4F"/>
    <w:rsid w:val="00A21606"/>
    <w:rsid w:val="00AB15FB"/>
    <w:rsid w:val="00B43D48"/>
    <w:rsid w:val="00B75D68"/>
    <w:rsid w:val="00B94EC9"/>
    <w:rsid w:val="00BB7608"/>
    <w:rsid w:val="00C729A4"/>
    <w:rsid w:val="00CC7DD4"/>
    <w:rsid w:val="00CE2051"/>
    <w:rsid w:val="00CF00C9"/>
    <w:rsid w:val="00CF155F"/>
    <w:rsid w:val="00CF7BBB"/>
    <w:rsid w:val="00D11A80"/>
    <w:rsid w:val="00D7148D"/>
    <w:rsid w:val="00EC7110"/>
    <w:rsid w:val="00ED1FF1"/>
    <w:rsid w:val="00F26186"/>
    <w:rsid w:val="00F47E58"/>
    <w:rsid w:val="00F94D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7209"/>
  <w15:docId w15:val="{89F1C23B-6C4A-4A92-83F6-037F9910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val="0"/>
      <w:overflowPunct w:val="0"/>
    </w:pPr>
    <w:rPr>
      <w:rFonts w:eastAsia="Arial Unicode MS" w:cs="Arial Unicode MS"/>
      <w:color w:val="000000"/>
      <w:lang w:eastAsia="uk-UA"/>
    </w:rPr>
  </w:style>
  <w:style w:type="paragraph" w:styleId="1">
    <w:name w:val="heading 1"/>
    <w:basedOn w:val="a"/>
    <w:next w:val="a"/>
    <w:uiPriority w:val="9"/>
    <w:qFormat/>
    <w:pPr>
      <w:tabs>
        <w:tab w:val="left" w:pos="1736"/>
        <w:tab w:val="left" w:pos="2019"/>
      </w:tabs>
      <w:spacing w:after="120"/>
      <w:jc w:val="both"/>
      <w:outlineLvl w:val="0"/>
    </w:pPr>
    <w:rPr>
      <w:rFonts w:ascii="Times New Roman" w:eastAsia="Arial Nova Cond Light" w:hAnsi="Times New Roman" w:cs="Times New Roman"/>
      <w:b/>
      <w:bCs/>
      <w:color w:val="002060"/>
      <w:sz w:val="28"/>
      <w:szCs w:val="28"/>
    </w:rPr>
  </w:style>
  <w:style w:type="paragraph" w:styleId="2">
    <w:name w:val="heading 2"/>
    <w:basedOn w:val="a"/>
    <w:next w:val="a"/>
    <w:uiPriority w:val="9"/>
    <w:unhideWhenUsed/>
    <w:qFormat/>
    <w:pPr>
      <w:tabs>
        <w:tab w:val="left" w:pos="1736"/>
        <w:tab w:val="left" w:pos="2019"/>
      </w:tabs>
      <w:spacing w:after="120"/>
      <w:ind w:firstLine="709"/>
      <w:jc w:val="both"/>
      <w:outlineLvl w:val="1"/>
    </w:pPr>
    <w:rPr>
      <w:rFonts w:ascii="Times New Roman" w:eastAsia="Arial Nova Cond Light" w:hAnsi="Times New Roman" w:cs="Times New Roman"/>
      <w:i/>
      <w:iCs/>
      <w:color w:val="002060"/>
      <w:sz w:val="28"/>
      <w:szCs w:val="28"/>
    </w:rPr>
  </w:style>
  <w:style w:type="paragraph" w:styleId="3">
    <w:name w:val="heading 3"/>
    <w:basedOn w:val="a"/>
    <w:next w:val="a"/>
    <w:uiPriority w:val="9"/>
    <w:semiHidden/>
    <w:unhideWhenUsed/>
    <w:qFormat/>
    <w:pPr>
      <w:ind w:firstLine="709"/>
      <w:jc w:val="both"/>
      <w:outlineLvl w:val="2"/>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Стандартный HTML Знак"/>
    <w:basedOn w:val="a0"/>
    <w:qFormat/>
    <w:rPr>
      <w:rFonts w:ascii="Courier New" w:eastAsia="Arial Unicode MS" w:hAnsi="Courier New" w:cs="Arial Unicode MS"/>
      <w:color w:val="000000"/>
      <w:sz w:val="20"/>
      <w:szCs w:val="20"/>
      <w:u w:val="none"/>
      <w:lang w:eastAsia="uk-UA"/>
    </w:rPr>
  </w:style>
  <w:style w:type="character" w:customStyle="1" w:styleId="a3">
    <w:name w:val="Верхний колонтитул Знак"/>
    <w:basedOn w:val="a0"/>
    <w:qFormat/>
    <w:rPr>
      <w:rFonts w:ascii="Calibri" w:eastAsia="Arial Unicode MS" w:hAnsi="Calibri" w:cs="Arial Unicode MS"/>
      <w:color w:val="000000"/>
      <w:u w:val="none"/>
      <w:lang w:eastAsia="uk-UA"/>
    </w:rPr>
  </w:style>
  <w:style w:type="character" w:customStyle="1" w:styleId="a4">
    <w:name w:val="Нижний колонтитул Знак"/>
    <w:basedOn w:val="a0"/>
    <w:qFormat/>
    <w:rPr>
      <w:rFonts w:ascii="Calibri" w:eastAsia="Arial Unicode MS" w:hAnsi="Calibri" w:cs="Arial Unicode MS"/>
      <w:color w:val="000000"/>
      <w:u w:val="none"/>
      <w:lang w:eastAsia="uk-UA"/>
    </w:rPr>
  </w:style>
  <w:style w:type="character" w:customStyle="1" w:styleId="10">
    <w:name w:val="Заголовок 1 Знак"/>
    <w:basedOn w:val="a0"/>
    <w:qFormat/>
    <w:rPr>
      <w:rFonts w:ascii="Times New Roman" w:eastAsia="Arial Nova Cond Light" w:hAnsi="Times New Roman" w:cs="Times New Roman"/>
      <w:b/>
      <w:bCs/>
      <w:color w:val="002060"/>
      <w:sz w:val="28"/>
      <w:szCs w:val="28"/>
      <w:u w:val="none"/>
      <w:lang w:eastAsia="uk-UA"/>
    </w:rPr>
  </w:style>
  <w:style w:type="character" w:customStyle="1" w:styleId="a5">
    <w:name w:val="Текст сноски Знак"/>
    <w:basedOn w:val="a0"/>
    <w:qFormat/>
    <w:rPr>
      <w:rFonts w:ascii="Calibri" w:eastAsia="Arial Unicode MS" w:hAnsi="Calibri" w:cs="Arial Unicode MS"/>
      <w:color w:val="000000"/>
      <w:sz w:val="20"/>
      <w:szCs w:val="20"/>
      <w:u w:val="none"/>
      <w:lang w:eastAsia="uk-UA"/>
    </w:rPr>
  </w:style>
  <w:style w:type="character" w:customStyle="1" w:styleId="FootnoteCharacters">
    <w:name w:val="Footnote Characters"/>
    <w:basedOn w:val="a0"/>
    <w:qFormat/>
    <w:rPr>
      <w:vertAlign w:val="superscript"/>
    </w:rPr>
  </w:style>
  <w:style w:type="character" w:customStyle="1" w:styleId="FootnoteAnchor">
    <w:name w:val="Footnote Anchor"/>
    <w:rPr>
      <w:vertAlign w:val="superscript"/>
    </w:rPr>
  </w:style>
  <w:style w:type="character" w:customStyle="1" w:styleId="wwwc">
    <w:name w:val="www сноcка Знак"/>
    <w:basedOn w:val="a5"/>
    <w:qFormat/>
    <w:rPr>
      <w:rFonts w:ascii="Times New Roman" w:eastAsia="Arial Unicode MS" w:hAnsi="Times New Roman" w:cs="Arial Unicode MS"/>
      <w:color w:val="000000"/>
      <w:sz w:val="24"/>
      <w:szCs w:val="20"/>
      <w:u w:val="none"/>
      <w:lang w:eastAsia="uk-UA"/>
    </w:rPr>
  </w:style>
  <w:style w:type="character" w:customStyle="1" w:styleId="20">
    <w:name w:val="Заголовок 2 Знак"/>
    <w:basedOn w:val="a0"/>
    <w:qFormat/>
    <w:rPr>
      <w:rFonts w:ascii="Times New Roman" w:eastAsia="Arial Nova Cond Light" w:hAnsi="Times New Roman" w:cs="Times New Roman"/>
      <w:i/>
      <w:iCs/>
      <w:color w:val="002060"/>
      <w:sz w:val="28"/>
      <w:szCs w:val="28"/>
      <w:u w:val="none"/>
      <w:lang w:eastAsia="uk-UA"/>
    </w:rPr>
  </w:style>
  <w:style w:type="character" w:styleId="a6">
    <w:name w:val="Hyperlink"/>
    <w:basedOn w:val="a0"/>
    <w:rPr>
      <w:color w:val="0000FF"/>
      <w:u w:val="single"/>
    </w:rPr>
  </w:style>
  <w:style w:type="character" w:styleId="a7">
    <w:name w:val="Unresolved Mention"/>
    <w:basedOn w:val="a0"/>
    <w:qFormat/>
    <w:rPr>
      <w:color w:val="605E5C"/>
      <w:shd w:val="clear" w:color="auto" w:fill="E1DFDD"/>
    </w:rPr>
  </w:style>
  <w:style w:type="character" w:styleId="a8">
    <w:name w:val="Emphasis"/>
    <w:qFormat/>
    <w:rPr>
      <w:i/>
      <w:iCs/>
    </w:rPr>
  </w:style>
  <w:style w:type="character" w:customStyle="1" w:styleId="30">
    <w:name w:val="Заголовок 3 Знак"/>
    <w:basedOn w:val="a0"/>
    <w:qFormat/>
    <w:rPr>
      <w:rFonts w:ascii="Times New Roman" w:eastAsia="Arial Unicode MS" w:hAnsi="Times New Roman" w:cs="Times New Roman"/>
      <w:color w:val="000000"/>
      <w:sz w:val="28"/>
      <w:szCs w:val="28"/>
      <w:u w:val="none"/>
      <w:lang w:eastAsia="uk-UA"/>
    </w:rPr>
  </w:style>
  <w:style w:type="character" w:customStyle="1" w:styleId="a9">
    <w:name w:val="Текст концевой сноски Знак"/>
    <w:basedOn w:val="a0"/>
    <w:qFormat/>
    <w:rPr>
      <w:rFonts w:ascii="Calibri" w:eastAsia="Arial Unicode MS" w:hAnsi="Calibri" w:cs="Arial Unicode MS"/>
      <w:color w:val="000000"/>
      <w:sz w:val="20"/>
      <w:szCs w:val="20"/>
      <w:u w:val="none"/>
      <w:lang w:eastAsia="uk-UA"/>
    </w:rPr>
  </w:style>
  <w:style w:type="character" w:customStyle="1" w:styleId="EndnoteCharacters">
    <w:name w:val="Endnote Characters"/>
    <w:basedOn w:val="a0"/>
    <w:qFormat/>
    <w:rPr>
      <w:vertAlign w:val="superscript"/>
    </w:rPr>
  </w:style>
  <w:style w:type="character" w:customStyle="1" w:styleId="EndnoteAnchor">
    <w:name w:val="Endnote Anchor"/>
    <w:rPr>
      <w:vertAlign w:val="superscript"/>
    </w:rPr>
  </w:style>
  <w:style w:type="character" w:customStyle="1" w:styleId="StrongEmphasis">
    <w:name w:val="Strong Emphasis"/>
    <w:qFormat/>
    <w:rPr>
      <w:b/>
      <w:bCs/>
    </w:rPr>
  </w:style>
  <w:style w:type="character" w:styleId="aa">
    <w:name w:val="annotation reference"/>
    <w:basedOn w:val="a0"/>
    <w:qFormat/>
    <w:rPr>
      <w:sz w:val="16"/>
      <w:szCs w:val="16"/>
    </w:rPr>
  </w:style>
  <w:style w:type="character" w:customStyle="1" w:styleId="ab">
    <w:name w:val="Текст примечания Знак"/>
    <w:basedOn w:val="a0"/>
    <w:link w:val="ac"/>
    <w:qFormat/>
    <w:rPr>
      <w:rFonts w:eastAsia="Arial Unicode MS" w:cs="Arial Unicode MS"/>
      <w:color w:val="000000"/>
      <w:sz w:val="20"/>
      <w:szCs w:val="20"/>
      <w:lang w:eastAsia="uk-UA"/>
    </w:rPr>
  </w:style>
  <w:style w:type="character" w:customStyle="1" w:styleId="ad">
    <w:name w:val="Тема примечания Знак"/>
    <w:basedOn w:val="ab"/>
    <w:link w:val="ae"/>
    <w:qFormat/>
    <w:rPr>
      <w:rFonts w:eastAsia="Arial Unicode MS" w:cs="Arial Unicode MS"/>
      <w:b/>
      <w:bCs/>
      <w:color w:val="000000"/>
      <w:sz w:val="20"/>
      <w:szCs w:val="20"/>
      <w:lang w:eastAsia="uk-UA"/>
    </w:rPr>
  </w:style>
  <w:style w:type="character" w:customStyle="1" w:styleId="LineNumbering">
    <w:name w:val="Line Numbering"/>
  </w:style>
  <w:style w:type="character" w:styleId="af">
    <w:name w:val="FollowedHyperlink"/>
    <w:basedOn w:val="a0"/>
    <w:rPr>
      <w:color w:val="954F72"/>
      <w:u w:val="single"/>
    </w:rPr>
  </w:style>
  <w:style w:type="paragraph" w:customStyle="1" w:styleId="Heading">
    <w:name w:val="Heading"/>
    <w:basedOn w:val="a"/>
    <w:next w:val="af0"/>
    <w:qFormat/>
    <w:pPr>
      <w:keepNext/>
      <w:spacing w:before="240" w:after="120"/>
    </w:pPr>
    <w:rPr>
      <w:rFonts w:ascii="Liberation Sans" w:eastAsia="PingFang SC" w:hAnsi="Liberation Sans"/>
      <w:sz w:val="28"/>
      <w:szCs w:val="28"/>
    </w:rPr>
  </w:style>
  <w:style w:type="paragraph" w:styleId="af0">
    <w:name w:val="Body Text"/>
    <w:basedOn w:val="a"/>
    <w:pPr>
      <w:spacing w:after="140" w:line="276" w:lineRule="auto"/>
    </w:pPr>
  </w:style>
  <w:style w:type="paragraph" w:styleId="af1">
    <w:name w:val="List"/>
    <w:basedOn w:val="af0"/>
  </w:style>
  <w:style w:type="paragraph" w:styleId="af2">
    <w:name w:val="caption"/>
    <w:basedOn w:val="a"/>
    <w:qFormat/>
    <w:pPr>
      <w:suppressLineNumbers/>
      <w:spacing w:before="120" w:after="120"/>
    </w:pPr>
    <w:rPr>
      <w:i/>
      <w:iCs/>
      <w:sz w:val="24"/>
      <w:szCs w:val="24"/>
    </w:rPr>
  </w:style>
  <w:style w:type="paragraph" w:customStyle="1" w:styleId="Index">
    <w:name w:val="Index"/>
    <w:basedOn w:val="a"/>
    <w:qFormat/>
    <w:pPr>
      <w:suppressLineNumbers/>
    </w:pPr>
  </w:style>
  <w:style w:type="paragraph" w:customStyle="1" w:styleId="HeaderFooter">
    <w:name w:val="Header &amp; Footer"/>
    <w:qFormat/>
    <w:pPr>
      <w:tabs>
        <w:tab w:val="right" w:pos="9020"/>
      </w:tabs>
      <w:overflowPunct w:val="0"/>
    </w:pPr>
    <w:rPr>
      <w:rFonts w:ascii="Helvetica Neue" w:eastAsia="Arial Unicode MS" w:hAnsi="Helvetica Neue" w:cs="Arial Unicode MS"/>
      <w:color w:val="000000"/>
      <w:sz w:val="24"/>
      <w:szCs w:val="24"/>
      <w:lang w:eastAsia="uk-UA"/>
    </w:rPr>
  </w:style>
  <w:style w:type="paragraph" w:styleId="af3">
    <w:name w:val="List Paragraph"/>
    <w:qFormat/>
    <w:pPr>
      <w:overflowPunct w:val="0"/>
      <w:spacing w:after="160" w:line="259" w:lineRule="auto"/>
      <w:ind w:left="720"/>
    </w:pPr>
    <w:rPr>
      <w:rFonts w:eastAsia="Arial Unicode MS" w:cs="Arial Unicode MS"/>
      <w:color w:val="000000"/>
      <w:lang w:eastAsia="uk-UA"/>
    </w:rPr>
  </w:style>
  <w:style w:type="paragraph" w:styleId="HTML0">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pPr>
    <w:rPr>
      <w:rFonts w:ascii="Courier New" w:eastAsia="Arial Unicode MS" w:hAnsi="Courier New" w:cs="Arial Unicode MS"/>
      <w:color w:val="000000"/>
      <w:sz w:val="20"/>
      <w:szCs w:val="20"/>
      <w:lang w:eastAsia="uk-UA"/>
    </w:rPr>
  </w:style>
  <w:style w:type="paragraph" w:customStyle="1" w:styleId="HeaderandFooter">
    <w:name w:val="Header and Footer"/>
    <w:basedOn w:val="a"/>
    <w:qFormat/>
  </w:style>
  <w:style w:type="paragraph" w:styleId="af4">
    <w:name w:val="header"/>
    <w:basedOn w:val="a"/>
    <w:pPr>
      <w:tabs>
        <w:tab w:val="center" w:pos="4677"/>
        <w:tab w:val="right" w:pos="9355"/>
      </w:tabs>
    </w:pPr>
  </w:style>
  <w:style w:type="paragraph" w:styleId="af5">
    <w:name w:val="footer"/>
    <w:basedOn w:val="a"/>
    <w:pPr>
      <w:tabs>
        <w:tab w:val="center" w:pos="4677"/>
        <w:tab w:val="right" w:pos="9355"/>
      </w:tabs>
    </w:pPr>
  </w:style>
  <w:style w:type="paragraph" w:styleId="af6">
    <w:name w:val="footnote text"/>
    <w:basedOn w:val="a"/>
    <w:rPr>
      <w:sz w:val="20"/>
      <w:szCs w:val="20"/>
    </w:rPr>
  </w:style>
  <w:style w:type="paragraph" w:customStyle="1" w:styleId="wwwc0">
    <w:name w:val="www сноcка"/>
    <w:basedOn w:val="af6"/>
    <w:qFormat/>
    <w:pPr>
      <w:ind w:firstLine="709"/>
    </w:pPr>
    <w:rPr>
      <w:rFonts w:ascii="Times New Roman" w:hAnsi="Times New Roman"/>
      <w:sz w:val="24"/>
    </w:rPr>
  </w:style>
  <w:style w:type="paragraph" w:customStyle="1" w:styleId="Default">
    <w:name w:val="Default"/>
    <w:qFormat/>
    <w:pPr>
      <w:overflowPunct w:val="0"/>
    </w:pPr>
    <w:rPr>
      <w:rFonts w:ascii="Code" w:hAnsi="Code" w:cs="Code"/>
      <w:color w:val="000000"/>
      <w:sz w:val="24"/>
      <w:szCs w:val="24"/>
    </w:rPr>
  </w:style>
  <w:style w:type="paragraph" w:customStyle="1" w:styleId="BVIfnr">
    <w:name w:val="BVI fnr Знак"/>
    <w:basedOn w:val="a"/>
    <w:qFormat/>
    <w:pPr>
      <w:spacing w:line="240" w:lineRule="exact"/>
    </w:pPr>
    <w:rPr>
      <w:rFonts w:eastAsia="Calibri" w:cs="Tahoma"/>
      <w:color w:val="auto"/>
      <w:vertAlign w:val="superscript"/>
      <w:lang w:eastAsia="en-US"/>
    </w:rPr>
  </w:style>
  <w:style w:type="paragraph" w:customStyle="1" w:styleId="TableContents">
    <w:name w:val="Table Contents"/>
    <w:basedOn w:val="a"/>
    <w:qFormat/>
    <w:pPr>
      <w:widowControl w:val="0"/>
      <w:suppressLineNumbers/>
      <w:suppressAutoHyphens/>
    </w:pPr>
    <w:rPr>
      <w:rFonts w:ascii="Liberation Serif" w:eastAsia="Songti SC" w:hAnsi="Liberation Serif"/>
      <w:color w:val="auto"/>
      <w:kern w:val="2"/>
      <w:sz w:val="24"/>
      <w:szCs w:val="24"/>
      <w:lang w:eastAsia="zh-CN" w:bidi="hi-IN"/>
    </w:rPr>
  </w:style>
  <w:style w:type="paragraph" w:customStyle="1" w:styleId="FrameContents">
    <w:name w:val="Frame Contents"/>
    <w:basedOn w:val="a"/>
    <w:qFormat/>
    <w:pPr>
      <w:suppressAutoHyphens/>
    </w:pPr>
    <w:rPr>
      <w:rFonts w:ascii="Liberation Serif" w:eastAsia="Songti SC" w:hAnsi="Liberation Serif"/>
      <w:color w:val="auto"/>
      <w:kern w:val="2"/>
      <w:sz w:val="24"/>
      <w:szCs w:val="24"/>
      <w:lang w:eastAsia="zh-CN" w:bidi="hi-IN"/>
    </w:rPr>
  </w:style>
  <w:style w:type="paragraph" w:styleId="af7">
    <w:name w:val="endnote text"/>
    <w:basedOn w:val="a"/>
    <w:rPr>
      <w:sz w:val="20"/>
      <w:szCs w:val="20"/>
    </w:rPr>
  </w:style>
  <w:style w:type="paragraph" w:customStyle="1" w:styleId="PreformattedText">
    <w:name w:val="Preformatted Text"/>
    <w:basedOn w:val="a"/>
    <w:qFormat/>
    <w:rPr>
      <w:rFonts w:ascii="Liberation Mono" w:eastAsia="Liberation Mono" w:hAnsi="Liberation Mono" w:cs="Liberation Mono"/>
      <w:sz w:val="20"/>
      <w:szCs w:val="20"/>
    </w:rPr>
  </w:style>
  <w:style w:type="paragraph" w:customStyle="1" w:styleId="TableHeading">
    <w:name w:val="Table Heading"/>
    <w:basedOn w:val="TableContents"/>
    <w:qFormat/>
    <w:pPr>
      <w:jc w:val="center"/>
    </w:pPr>
    <w:rPr>
      <w:b/>
      <w:bCs/>
    </w:rPr>
  </w:style>
  <w:style w:type="paragraph" w:styleId="ac">
    <w:name w:val="annotation text"/>
    <w:basedOn w:val="a"/>
    <w:link w:val="ab"/>
    <w:qFormat/>
    <w:rPr>
      <w:sz w:val="20"/>
      <w:szCs w:val="20"/>
    </w:rPr>
  </w:style>
  <w:style w:type="paragraph" w:styleId="ae">
    <w:name w:val="annotation subject"/>
    <w:basedOn w:val="ac"/>
    <w:next w:val="ac"/>
    <w:link w:val="ad"/>
    <w:qFormat/>
    <w:rPr>
      <w:b/>
      <w:bCs/>
    </w:rPr>
  </w:style>
  <w:style w:type="paragraph" w:styleId="af8">
    <w:name w:val="Revision"/>
    <w:qFormat/>
    <w:pPr>
      <w:suppressAutoHyphens w:val="0"/>
      <w:overflowPunct w:val="0"/>
    </w:pPr>
    <w:rPr>
      <w:rFonts w:eastAsia="Arial Unicode MS" w:cs="Arial Unicode MS"/>
      <w:color w:val="000000"/>
      <w:lang w:eastAsia="uk-UA"/>
    </w:rPr>
  </w:style>
  <w:style w:type="numbering" w:customStyle="1" w:styleId="ImportedStyle1">
    <w:name w:val="Imported Style 1"/>
    <w:qFormat/>
  </w:style>
  <w:style w:type="numbering" w:customStyle="1" w:styleId="ImportedStyle2">
    <w:name w:val="Imported Style 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kumpersina@gmail.com" TargetMode="External"/><Relationship Id="rId13" Type="http://schemas.openxmlformats.org/officeDocument/2006/relationships/image" Target="media/image4.png"/><Relationship Id="rId18" Type="http://schemas.openxmlformats.org/officeDocument/2006/relationships/hyperlink" Target="https://econpapers.repec.org/article/ecjeconjl/" TargetMode="External"/><Relationship Id="rId3" Type="http://schemas.openxmlformats.org/officeDocument/2006/relationships/styles" Target="styles.xml"/><Relationship Id="rId21" Type="http://schemas.openxmlformats.org/officeDocument/2006/relationships/hyperlink" Target="https://github.com/Polinden/Invest2M2Worl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bbc.com/russian/news-559500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006/redy.2001.0149" TargetMode="External"/><Relationship Id="rId4" Type="http://schemas.openxmlformats.org/officeDocument/2006/relationships/settings" Target="settings.xml"/><Relationship Id="rId9" Type="http://schemas.openxmlformats.org/officeDocument/2006/relationships/hyperlink" Target="https://orcid.org/"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055D4-3BC6-4EB8-B8B6-AE18EBAE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14</Pages>
  <Words>4528</Words>
  <Characters>25812</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Якою буде система оподаткування прибутку підприємств в Україні до 2035 року? Передбачення методом Дельфі</vt:lpstr>
    </vt:vector>
  </TitlesOfParts>
  <Company/>
  <LinksUpToDate>false</LinksUpToDate>
  <CharactersWithSpaces>30280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Якою буде система оподаткування прибутку підприємств в Україні до 2035 року? Передбачення методом Дельфі</dc:title>
  <dc:subject/>
  <dc:creator>Olesia</dc:creator>
  <dc:description/>
  <cp:lastModifiedBy>Dan Lee</cp:lastModifiedBy>
  <cp:revision>62</cp:revision>
  <cp:lastPrinted>2022-02-10T22:05:00Z</cp:lastPrinted>
  <dcterms:created xsi:type="dcterms:W3CDTF">2022-02-07T16:46:00Z</dcterms:created>
  <dcterms:modified xsi:type="dcterms:W3CDTF">2022-02-12T06:17:00Z</dcterms:modified>
  <dc:language>ru-RU</dc:language>
</cp:coreProperties>
</file>