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right"/>
        <w:rPr>
          <w:lang w:val="en-US"/>
        </w:rPr>
      </w:pPr>
      <w:r>
        <w:rPr>
          <w:lang w:val="en-US"/>
        </w:rPr>
        <w:t>Lypnytsky Denys, PhD</w:t>
      </w:r>
    </w:p>
    <w:p>
      <w:pPr>
        <w:pStyle w:val="Normal"/>
        <w:jc w:val="right"/>
        <w:rPr>
          <w:lang w:val="en-US"/>
        </w:rPr>
      </w:pPr>
      <w:r>
        <w:rPr>
          <w:rFonts w:cs="Times New Roman" w:ascii="Times New Roman" w:hAnsi="Times New Roman"/>
          <w:sz w:val="24"/>
          <w:szCs w:val="24"/>
          <w:lang w:val="en-US"/>
        </w:rPr>
        <w:t xml:space="preserve">application architect, technical trainer, i-Klass Center LLC. </w:t>
      </w:r>
    </w:p>
    <w:p>
      <w:pPr>
        <w:pStyle w:val="Normal"/>
        <w:jc w:val="right"/>
        <w:rPr>
          <w:lang w:val="en-US"/>
        </w:rPr>
      </w:pPr>
      <w:r>
        <w:rPr>
          <w:rFonts w:cs="Times New Roman" w:ascii="Times New Roman" w:hAnsi="Times New Roman"/>
          <w:sz w:val="24"/>
          <w:szCs w:val="24"/>
          <w:lang w:val="en-US"/>
        </w:rPr>
        <w:t>Е-mail: denis.lipnitsky@i-klass.com https://orcid.org/0000-0002-4616-7936</w:t>
      </w:r>
    </w:p>
    <w:p>
      <w:pPr>
        <w:pStyle w:val="Heading1"/>
        <w:jc w:val="right"/>
        <w:rPr>
          <w:lang w:val="en-US"/>
        </w:rPr>
      </w:pPr>
      <w:r>
        <w:rPr>
          <w:lang w:val="en-US"/>
        </w:rPr>
        <w:t xml:space="preserve">Lypnytska Polina  </w:t>
      </w:r>
    </w:p>
    <w:p>
      <w:pPr>
        <w:pStyle w:val="Normal"/>
        <w:jc w:val="right"/>
        <w:rPr>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p</w:t>
      </w: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artner, Up2Date Learn Online Courses </w:t>
      </w:r>
    </w:p>
    <w:p>
      <w:pPr>
        <w:pStyle w:val="Normal"/>
        <w:jc w:val="right"/>
        <w:rPr>
          <w:lang w:val="en-US"/>
        </w:rPr>
      </w:pPr>
      <w:r>
        <w:rPr>
          <w:rFonts w:eastAsia="Arial Unicode MS" w:cs="Times New Roman" w:ascii="Times New Roman" w:hAnsi="Times New Roman"/>
          <w:b w:val="false"/>
          <w:i w:val="false"/>
          <w:caps w:val="false"/>
          <w:smallCaps w:val="false"/>
          <w:color w:val="000000"/>
          <w:spacing w:val="0"/>
          <w:kern w:val="0"/>
          <w:sz w:val="24"/>
          <w:szCs w:val="24"/>
          <w:lang w:val="en-US" w:eastAsia="uk-UA" w:bidi="ar-SA"/>
        </w:rPr>
        <w:t xml:space="preserve">E-mail: </w:t>
      </w:r>
      <w:hyperlink r:id="rId2">
        <w:r>
          <w:rPr>
            <w:rStyle w:val="InternetLink"/>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kumpersina@gmail.com</w:t>
        </w:r>
      </w:hyperlink>
      <w:r>
        <w:rPr>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 xml:space="preserve">, </w:t>
      </w:r>
      <w:hyperlink r:id="rId3">
        <w:r>
          <w:rPr>
            <w:rStyle w:val="InternetLink"/>
            <w:rFonts w:eastAsia="Arial Unicode MS" w:cs="Times New Roman" w:ascii="Times New Roman" w:hAnsi="Times New Roman"/>
            <w:b w:val="false"/>
            <w:i w:val="false"/>
            <w:caps w:val="false"/>
            <w:smallCaps w:val="false"/>
            <w:color w:val="000000"/>
            <w:spacing w:val="0"/>
            <w:kern w:val="0"/>
            <w:sz w:val="24"/>
            <w:szCs w:val="24"/>
            <w:u w:val="none"/>
            <w:lang w:val="en-US" w:eastAsia="uk-UA" w:bidi="ar-SA"/>
          </w:rPr>
          <w:t>https://orcid.org/</w:t>
        </w:r>
      </w:hyperlink>
      <w:r>
        <w:rPr>
          <w:rStyle w:val="StrongEmphasis"/>
          <w:rFonts w:eastAsia="Arial Unicode MS" w:cs="Times New Roman" w:ascii="Times New Roman" w:hAnsi="Times New Roman"/>
          <w:b w:val="false"/>
          <w:i w:val="false"/>
          <w:caps w:val="false"/>
          <w:smallCaps w:val="false"/>
          <w:color w:val="000000"/>
          <w:kern w:val="0"/>
          <w:sz w:val="24"/>
          <w:szCs w:val="24"/>
          <w:u w:val="none"/>
          <w:lang w:val="en-US" w:eastAsia="uk-UA" w:bidi="ar-SA"/>
        </w:rPr>
        <w:t>00</w:t>
      </w:r>
      <w:r>
        <w:rPr>
          <w:rStyle w:val="StrongEmphasis"/>
          <w:rFonts w:eastAsia="Arial Unicode MS" w:cs="Times New Roman" w:ascii="Times New Roman" w:hAnsi="Times New Roman"/>
          <w:b w:val="false"/>
          <w:i w:val="false"/>
          <w:caps w:val="false"/>
          <w:smallCaps w:val="false"/>
          <w:color w:val="000000"/>
          <w:kern w:val="0"/>
          <w:sz w:val="24"/>
          <w:szCs w:val="24"/>
          <w:lang w:val="en-US" w:eastAsia="uk-UA" w:bidi="ar-SA"/>
        </w:rPr>
        <w:t>00-0003-1722-1697</w:t>
      </w:r>
    </w:p>
    <w:p>
      <w:pPr>
        <w:pStyle w:val="Normal"/>
        <w:rPr>
          <w:lang w:val="en-US"/>
        </w:rPr>
      </w:pPr>
      <w:r>
        <w:rPr>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jc w:val="center"/>
        <w:rPr>
          <w:lang w:val="en-US"/>
        </w:rPr>
      </w:pPr>
      <w:r>
        <w:rPr>
          <w:lang w:val="en-US"/>
        </w:rPr>
        <w:t xml:space="preserve">MONEY SUPPLY IMPACT ON INVESTMENT AND GDP: </w:t>
      </w:r>
    </w:p>
    <w:p>
      <w:pPr>
        <w:pStyle w:val="Heading1"/>
        <w:jc w:val="center"/>
        <w:rPr>
          <w:lang w:val="en-US"/>
        </w:rPr>
      </w:pPr>
      <w:r>
        <w:rPr>
          <w:lang w:val="en-US"/>
        </w:rPr>
        <w:t>STATISTICAL ANALYSIS</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color w:val="0E101A"/>
          <w:sz w:val="28"/>
          <w:szCs w:val="28"/>
          <w:lang w:val="en-US"/>
        </w:rPr>
        <w:t>Introduction</w:t>
      </w:r>
    </w:p>
    <w:p>
      <w:pPr>
        <w:pStyle w:val="TextBody"/>
        <w:spacing w:before="0" w:after="0"/>
        <w:jc w:val="both"/>
        <w:rPr/>
      </w:pPr>
      <w:r>
        <w:rPr>
          <w:color w:val="0E101A"/>
          <w:lang w:val="en-US"/>
        </w:rPr>
        <w:tab/>
      </w:r>
      <w:r>
        <w:rPr>
          <w:rFonts w:cs="Times New Roman" w:ascii="Times New Roman" w:hAnsi="Times New Roman"/>
          <w:sz w:val="28"/>
          <w:szCs w:val="28"/>
          <w:lang w:val="en-US"/>
        </w:rPr>
        <w:t xml:space="preserve">Since the beginning of the </w:t>
      </w:r>
      <w:r>
        <w:rPr>
          <w:rStyle w:val="Emphasis"/>
          <w:rFonts w:cs="Times New Roman" w:ascii="Times New Roman" w:hAnsi="Times New Roman"/>
          <w:i w:val="false"/>
          <w:sz w:val="28"/>
          <w:szCs w:val="28"/>
          <w:lang w:val="en-US"/>
        </w:rPr>
        <w:t>20th</w:t>
      </w:r>
      <w:r>
        <w:rPr>
          <w:rFonts w:cs="Times New Roman" w:ascii="Times New Roman" w:hAnsi="Times New Roman"/>
          <w:sz w:val="28"/>
          <w:szCs w:val="28"/>
          <w:lang w:val="en-US"/>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rise of public debt. Such a policy means that the central banks and monetary authorities participate directly in financing government expenditures (unacceptable in the orthodox economic theory) via the constant expansion of the monetary base [1]. In such circumstances, the emerging economies met a few new problems, including the heavy need to maintain economic growth together with the high probability of increasing exchange rates and imported inflation.</w:t>
      </w:r>
    </w:p>
    <w:p>
      <w:pPr>
        <w:pStyle w:val="TextBody"/>
        <w:spacing w:before="0" w:after="0"/>
        <w:jc w:val="both"/>
        <w:rPr/>
      </w:pPr>
      <w:r>
        <w:rPr>
          <w:rFonts w:cs="Times New Roman" w:ascii="Times New Roman" w:hAnsi="Times New Roman"/>
          <w:sz w:val="28"/>
          <w:szCs w:val="28"/>
          <w:lang w:val="en-US"/>
        </w:rPr>
        <w:tab/>
        <w:t xml:space="preserve">The </w:t>
      </w:r>
      <w:r>
        <w:rPr>
          <w:rStyle w:val="Emphasis"/>
          <w:rFonts w:cs="Times New Roman" w:ascii="Times New Roman" w:hAnsi="Times New Roman"/>
          <w:i w:val="false"/>
          <w:sz w:val="28"/>
          <w:szCs w:val="28"/>
          <w:lang w:val="en-US"/>
        </w:rPr>
        <w:t xml:space="preserve">situation is getting even </w:t>
      </w:r>
      <w:r>
        <w:rPr>
          <w:rFonts w:cs="Times New Roman" w:ascii="Times New Roman" w:hAnsi="Times New Roman"/>
          <w:sz w:val="28"/>
          <w:szCs w:val="28"/>
          <w:lang w:val="en-US"/>
        </w:rPr>
        <w:t>more complicated since the world is experiencing the fundamental transformations brought by the 4th Industrial Revolution. Many of its technologies are still at the initial phase, which means that the further steps would require active government support [2],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lang w:val="en-US"/>
        </w:rPr>
      </w:pPr>
      <w:r>
        <w:rPr>
          <w:rFonts w:cs="Times New Roman" w:ascii="Times New Roman" w:hAnsi="Times New Roman"/>
          <w:sz w:val="28"/>
          <w:szCs w:val="28"/>
          <w:lang w:val="en-US"/>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lang w:val="en-US"/>
        </w:rPr>
      </w:pPr>
      <w:r>
        <w:rPr>
          <w:rFonts w:cs="Times New Roman" w:ascii="Times New Roman" w:hAnsi="Times New Roman"/>
          <w:sz w:val="28"/>
          <w:szCs w:val="28"/>
          <w:lang w:val="en-US"/>
        </w:rPr>
        <w:tab/>
        <w:t>In this regard, the subject of the study is to assess the relationship between monetary aggregates, investment, and GDP in present conditions by the world economic data (time series) analysis using mathematical statistics. The goal is to identify the elements of this relationship and describe their differences for various economies at the current stage of world development.</w:t>
      </w:r>
    </w:p>
    <w:p>
      <w:pPr>
        <w:pStyle w:val="TextBody"/>
        <w:spacing w:before="0" w:after="0"/>
        <w:jc w:val="both"/>
        <w:rPr>
          <w:lang w:val="en-US"/>
        </w:rPr>
      </w:pPr>
      <w:r>
        <w:rPr>
          <w:rFonts w:cs="Times New Roman" w:ascii="Times New Roman" w:hAnsi="Times New Roman"/>
          <w:sz w:val="28"/>
          <w:szCs w:val="28"/>
          <w:lang w:val="en-US"/>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were used in this part. After discussing the results the paper contains the conclusions and suggests the directions for further research.</w:t>
      </w:r>
    </w:p>
    <w:p>
      <w:pPr>
        <w:pStyle w:val="Normal"/>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jc w:val="center"/>
        <w:rPr/>
      </w:pPr>
      <w:r>
        <w:rPr>
          <w:rStyle w:val="StrongEmphasis"/>
          <w:rFonts w:cs="Times New Roman" w:ascii="Times New Roman" w:hAnsi="Times New Roman"/>
          <w:sz w:val="28"/>
          <w:szCs w:val="28"/>
          <w:lang w:val="en-US"/>
        </w:rPr>
        <w:t>Review</w:t>
      </w:r>
    </w:p>
    <w:p>
      <w:pPr>
        <w:pStyle w:val="TextBody"/>
        <w:spacing w:before="0" w:after="0"/>
        <w:jc w:val="both"/>
        <w:rPr>
          <w:lang w:val="en-US"/>
        </w:rPr>
      </w:pPr>
      <w:r>
        <w:rPr>
          <w:rFonts w:cs="Times New Roman" w:ascii="Times New Roman" w:hAnsi="Times New Roman"/>
          <w:sz w:val="28"/>
          <w:szCs w:val="28"/>
          <w:lang w:val="en-US"/>
        </w:rPr>
        <w:tab/>
        <w:t>Among the different goals that economic policy pursues,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and investments (gross volume and structure).</w:t>
      </w:r>
    </w:p>
    <w:p>
      <w:pPr>
        <w:pStyle w:val="TextBody"/>
        <w:spacing w:before="0" w:after="0"/>
        <w:jc w:val="both"/>
        <w:rPr>
          <w:lang w:val="en-US"/>
        </w:rPr>
      </w:pPr>
      <w:r>
        <w:rPr>
          <w:rFonts w:cs="Times New Roman" w:ascii="Times New Roman" w:hAnsi="Times New Roman"/>
          <w:sz w:val="28"/>
          <w:szCs w:val="28"/>
          <w:lang w:val="en-US"/>
        </w:rPr>
        <w:tab/>
        <w:t xml:space="preserve">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w:t>
      </w:r>
      <w:r>
        <w:rPr>
          <w:rFonts w:eastAsia="Arial Unicode MS" w:cs="Times New Roman" w:ascii="Times New Roman" w:hAnsi="Times New Roman"/>
          <w:strike w:val="false"/>
          <w:dstrike w:val="false"/>
          <w:color w:val="000000"/>
          <w:sz w:val="28"/>
          <w:szCs w:val="28"/>
          <w:lang w:val="en-US" w:eastAsia="uk-UA"/>
        </w:rPr>
        <w:t xml:space="preserve">Negative </w:t>
      </w:r>
      <w:r>
        <w:rPr>
          <w:rFonts w:cs="Times New Roman" w:ascii="Times New Roman" w:hAnsi="Times New Roman"/>
          <w:strike w:val="false"/>
          <w:dstrike w:val="false"/>
          <w:sz w:val="28"/>
          <w:szCs w:val="28"/>
          <w:lang w:val="en-US"/>
        </w:rPr>
        <w:t>dyn</w:t>
      </w:r>
      <w:r>
        <w:rPr>
          <w:rFonts w:cs="Times New Roman" w:ascii="Times New Roman" w:hAnsi="Times New Roman"/>
          <w:sz w:val="28"/>
          <w:szCs w:val="28"/>
          <w:lang w:val="en-US"/>
        </w:rPr>
        <w:t>amics of GDP may happen as a result.</w:t>
      </w:r>
    </w:p>
    <w:p>
      <w:pPr>
        <w:pStyle w:val="TextBody"/>
        <w:spacing w:before="0" w:after="0"/>
        <w:jc w:val="both"/>
        <w:rPr>
          <w:lang w:val="en-US"/>
        </w:rPr>
      </w:pPr>
      <w:r>
        <w:rPr>
          <w:rFonts w:cs="Times New Roman" w:ascii="Times New Roman" w:hAnsi="Times New Roman"/>
          <w:sz w:val="28"/>
          <w:szCs w:val="28"/>
          <w:lang w:val="en-US"/>
        </w:rPr>
        <w:tab/>
        <w:t xml:space="preserve">It seems that the containment of emissions and the "sterilization" of the money supply should curb inflation and promote GDP growth. But the balance between surplus and scarcity is very delicate. An </w:t>
      </w:r>
      <w:r>
        <w:rPr>
          <w:rFonts w:cs="Times New Roman" w:ascii="Times New Roman" w:hAnsi="Times New Roman"/>
          <w:strike/>
          <w:sz w:val="28"/>
          <w:szCs w:val="28"/>
          <w:lang w:val="en-US"/>
        </w:rPr>
        <w:t>easily accessible</w:t>
      </w:r>
      <w:r>
        <w:rPr>
          <w:rFonts w:cs="Times New Roman" w:ascii="Times New Roman" w:hAnsi="Times New Roman"/>
          <w:sz w:val="28"/>
          <w:szCs w:val="28"/>
          <w:lang w:val="en-US"/>
        </w:rPr>
        <w:t xml:space="preserve"> lack of money supply causes no less painful consequences, than </w:t>
      </w:r>
      <w:r>
        <w:rPr>
          <w:rFonts w:cs="Times New Roman" w:ascii="Times New Roman" w:hAnsi="Times New Roman"/>
          <w:strike/>
          <w:sz w:val="28"/>
          <w:szCs w:val="28"/>
          <w:lang w:val="en-US"/>
        </w:rPr>
        <w:t>the</w:t>
      </w:r>
      <w:r>
        <w:rPr>
          <w:rFonts w:cs="Times New Roman" w:ascii="Times New Roman" w:hAnsi="Times New Roman"/>
          <w:sz w:val="28"/>
          <w:szCs w:val="28"/>
          <w:lang w:val="en-US"/>
        </w:rPr>
        <w:t xml:space="preserve"> money excess. This issue will be discussed in more detail below. For now, it suffices to mention that the presence of slight inflation driven by the growth of monetary aggregates is </w:t>
      </w:r>
      <w:r>
        <w:rPr>
          <w:rFonts w:cs="Times New Roman" w:ascii="Times New Roman" w:hAnsi="Times New Roman"/>
          <w:strike/>
          <w:sz w:val="28"/>
          <w:szCs w:val="28"/>
          <w:lang w:val="en-US"/>
        </w:rPr>
        <w:t>considered to be</w:t>
      </w:r>
      <w:r>
        <w:rPr>
          <w:rFonts w:cs="Times New Roman" w:ascii="Times New Roman" w:hAnsi="Times New Roman"/>
          <w:sz w:val="28"/>
          <w:szCs w:val="28"/>
          <w:lang w:val="en-US"/>
        </w:rPr>
        <w:t xml:space="preserve"> beneficial for the economy [3], and under certain conditions, a negative non-linear relationship between inflation and unemployment can be observed [4].</w:t>
      </w:r>
    </w:p>
    <w:p>
      <w:pPr>
        <w:pStyle w:val="TextBody"/>
        <w:spacing w:before="0" w:after="0"/>
        <w:jc w:val="both"/>
        <w:rPr>
          <w:lang w:val="en-US"/>
        </w:rPr>
      </w:pPr>
      <w:r>
        <w:rPr>
          <w:rFonts w:cs="Times New Roman" w:ascii="Times New Roman" w:hAnsi="Times New Roman"/>
          <w:sz w:val="28"/>
          <w:szCs w:val="28"/>
          <w:lang w:val="en-US"/>
        </w:rPr>
        <w:tab/>
        <w:t>Since interdependencies between GDP and other macroeconomic factors are complex, economic policy uses many levers of control simultaneously. In addition to GDP growth, they are moderate inflation, control of unemployment, limiting the budget defi</w:t>
      </w:r>
      <w:r>
        <w:rPr>
          <w:rFonts w:cs="Times New Roman" w:ascii="Times New Roman" w:hAnsi="Times New Roman"/>
          <w:strike w:val="false"/>
          <w:dstrike w:val="false"/>
          <w:sz w:val="28"/>
          <w:szCs w:val="28"/>
          <w:lang w:val="en-US"/>
        </w:rPr>
        <w:t>cit a</w:t>
      </w:r>
      <w:r>
        <w:rPr>
          <w:rFonts w:cs="Times New Roman" w:ascii="Times New Roman" w:hAnsi="Times New Roman"/>
          <w:sz w:val="28"/>
          <w:szCs w:val="28"/>
          <w:lang w:val="en-US"/>
        </w:rPr>
        <w:t>nd maintaining an acceptable trade balance. The multidimensional criterion of success, which takes into account the above-mentioned factors, has been called the "magic" quadrangle. It usually demonstrates the impossibility of achieving all four goals simultaneously (Fig. 1).</w:t>
      </w:r>
    </w:p>
    <w:p>
      <w:pPr>
        <w:pStyle w:val="TextBody"/>
        <w:spacing w:before="0" w:after="0"/>
        <w:jc w:val="both"/>
        <w:rPr>
          <w:lang w:val="en-US"/>
        </w:rPr>
      </w:pPr>
      <w:r>
        <w:rPr>
          <w:rFonts w:cs="Times New Roman" w:ascii="Times New Roman" w:hAnsi="Times New Roman"/>
          <w:sz w:val="28"/>
          <w:szCs w:val="28"/>
          <w:lang w:val="en-US"/>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drawing>
          <wp:anchor behindDoc="0" distT="0" distB="0" distL="0" distR="0" simplePos="0" locked="0" layoutInCell="0" allowOverlap="1" relativeHeight="4">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602990" cy="2207895"/>
                    </a:xfrm>
                    <a:prstGeom prst="rect">
                      <a:avLst/>
                    </a:prstGeom>
                  </pic:spPr>
                </pic:pic>
              </a:graphicData>
            </a:graphic>
          </wp:anchor>
        </w:drawing>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1.  «Magical» quadrangle [5].</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declined significantly. It resulted in a natural "sterilization" of their finances.</w:t>
      </w:r>
    </w:p>
    <w:p>
      <w:pPr>
        <w:pStyle w:val="Normal"/>
        <w:ind w:firstLine="709"/>
        <w:jc w:val="both"/>
        <w:rPr>
          <w:lang w:val="en-US"/>
        </w:rPr>
      </w:pPr>
      <w:r>
        <w:rPr>
          <w:rFonts w:cs="Times New Roman" w:ascii="Times New Roman" w:hAnsi="Times New Roman"/>
          <w:sz w:val="28"/>
          <w:szCs w:val="28"/>
          <w:lang w:val="en-US"/>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firstLine="709"/>
        <w:jc w:val="both"/>
        <w:rPr>
          <w:lang w:val="en-US"/>
        </w:rPr>
      </w:pPr>
      <w:r>
        <w:rPr>
          <w:rFonts w:cs="Times New Roman" w:ascii="Times New Roman" w:hAnsi="Times New Roman"/>
          <w:sz w:val="28"/>
          <w:szCs w:val="28"/>
          <w:lang w:val="en-US"/>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firstLine="709"/>
        <w:jc w:val="both"/>
        <w:rPr>
          <w:lang w:val="en-US"/>
        </w:rPr>
      </w:pPr>
      <w:r>
        <w:rPr>
          <w:rFonts w:cs="Times New Roman" w:ascii="Times New Roman" w:hAnsi="Times New Roman"/>
          <w:sz w:val="28"/>
          <w:szCs w:val="28"/>
          <w:lang w:val="en-US"/>
        </w:rPr>
        <w:t>At the same time, despite the statistical analysis, the very logic of economic mechanisms suggests that the excessive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firstLine="709"/>
        <w:jc w:val="both"/>
        <w:rPr>
          <w:lang w:val="en-US"/>
        </w:rPr>
      </w:pPr>
      <w:r>
        <w:rPr>
          <w:rFonts w:cs="Times New Roman" w:ascii="Times New Roman" w:hAnsi="Times New Roman"/>
          <w:sz w:val="28"/>
          <w:szCs w:val="28"/>
          <w:lang w:val="en-US"/>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firstLine="709"/>
        <w:jc w:val="both"/>
        <w:rPr>
          <w:lang w:val="en-US"/>
        </w:rPr>
      </w:pPr>
      <w:r>
        <w:rPr>
          <w:rFonts w:cs="Times New Roman" w:ascii="Times New Roman" w:hAnsi="Times New Roman"/>
          <w:sz w:val="28"/>
          <w:szCs w:val="28"/>
          <w:lang w:val="en-US"/>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firstLine="709"/>
        <w:jc w:val="both"/>
        <w:rPr>
          <w:lang w:val="en-US"/>
        </w:rPr>
      </w:pPr>
      <w:r>
        <w:rPr>
          <w:rFonts w:cs="Times New Roman" w:ascii="Times New Roman" w:hAnsi="Times New Roman"/>
          <w:sz w:val="28"/>
          <w:szCs w:val="28"/>
          <w:lang w:val="en-US"/>
        </w:rPr>
        <w:t xml:space="preserve">The monetary deficit also leads to a simplification of the structure of households consumption. The savings, and as a result, investments are going down. Investment strategies also </w:t>
      </w:r>
      <w:r>
        <w:rPr>
          <w:rFonts w:eastAsia="Arial Unicode MS" w:cs="Times New Roman" w:ascii="Times New Roman" w:hAnsi="Times New Roman"/>
          <w:color w:val="000000"/>
          <w:kern w:val="0"/>
          <w:sz w:val="28"/>
          <w:szCs w:val="28"/>
          <w:lang w:val="en-US" w:eastAsia="uk-UA" w:bidi="ar-SA"/>
        </w:rPr>
        <w:t>boil down</w:t>
      </w:r>
      <w:r>
        <w:rPr>
          <w:rFonts w:cs="Times New Roman" w:ascii="Times New Roman" w:hAnsi="Times New Roman"/>
          <w:sz w:val="28"/>
          <w:szCs w:val="28"/>
          <w:lang w:val="en-US"/>
        </w:rPr>
        <w:t xml:space="preserve"> to the minimum need for survival, ignoring innovative, high-tech, and, especially, venture capital assets.</w:t>
      </w:r>
    </w:p>
    <w:p>
      <w:pPr>
        <w:pStyle w:val="Normal"/>
        <w:ind w:firstLine="709"/>
        <w:jc w:val="both"/>
        <w:rPr>
          <w:lang w:val="en-US"/>
        </w:rPr>
      </w:pPr>
      <w:r>
        <w:rPr>
          <w:rFonts w:cs="Times New Roman" w:ascii="Times New Roman" w:hAnsi="Times New Roman"/>
          <w:sz w:val="28"/>
          <w:szCs w:val="28"/>
          <w:lang w:val="en-US"/>
        </w:rPr>
        <w:t>The reduction of high-tech industries and jobs causes an outflow of labor resources from the most promising sectors of the economy. As a result, labor migration may increase, and specifically, the outflow of the most qualified staff.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both"/>
        <w:rPr>
          <w:rFonts w:ascii="Times New Roman" w:hAnsi="Times New Roman" w:eastAsia="Arial Nova Cond Light" w:cs="Times New Roman"/>
          <w:b/>
          <w:b/>
          <w:bCs/>
          <w:color w:val="002060"/>
          <w:sz w:val="28"/>
          <w:szCs w:val="28"/>
          <w:lang w:val="en-US"/>
        </w:rPr>
      </w:pPr>
      <w:r>
        <w:rPr>
          <w:rFonts w:eastAsia="Arial Nova Cond Light" w:cs="Times New Roman" w:ascii="Times New Roman" w:hAnsi="Times New Roman"/>
          <w:b/>
          <w:bCs/>
          <w:color w:val="002060"/>
          <w:sz w:val="28"/>
          <w:szCs w:val="28"/>
          <w:lang w:val="en-US"/>
        </w:rPr>
      </w:r>
    </w:p>
    <w:p>
      <w:pPr>
        <w:pStyle w:val="Heading1"/>
        <w:jc w:val="center"/>
        <w:rPr>
          <w:lang w:val="en-US"/>
        </w:rPr>
      </w:pPr>
      <w:r>
        <w:rPr>
          <w:lang w:val="en-US"/>
        </w:rPr>
        <w:t>Econometric analysis</w:t>
      </w:r>
    </w:p>
    <w:p>
      <w:pPr>
        <w:pStyle w:val="Heading1"/>
        <w:tabs>
          <w:tab w:val="left" w:pos="1736" w:leader="none"/>
          <w:tab w:val="left" w:pos="2019" w:leader="none"/>
          <w:tab w:val="left" w:pos="8869" w:leader="none"/>
        </w:tabs>
        <w:jc w:val="left"/>
        <w:rPr>
          <w:lang w:val="en-US"/>
        </w:rPr>
      </w:pPr>
      <w:r>
        <w:rPr>
          <w:b w:val="false"/>
          <w:bCs w:val="false"/>
          <w:i/>
          <w:iCs/>
          <w:lang w:val="en-US"/>
        </w:rPr>
        <w:t xml:space="preserve">          </w:t>
      </w:r>
      <w:r>
        <w:rPr>
          <w:b w:val="false"/>
          <w:bCs w:val="false"/>
          <w:i/>
          <w:iCs/>
          <w:lang w:val="en-US"/>
        </w:rPr>
        <w:t>Problem formulation</w:t>
      </w:r>
    </w:p>
    <w:p>
      <w:pPr>
        <w:pStyle w:val="Normal"/>
        <w:jc w:val="both"/>
        <w:rPr>
          <w:lang w:val="en-US"/>
        </w:rPr>
      </w:pPr>
      <w:r>
        <w:rPr>
          <w:rFonts w:cs="Times New Roman" w:ascii="Times New Roman" w:hAnsi="Times New Roman"/>
          <w:sz w:val="28"/>
          <w:szCs w:val="28"/>
          <w:lang w:val="en-US"/>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is the structural complexity of the economy. It means that an increase in the growth of the money supply leads first to a rise in the number of transactions required to recreate (or form) this complex structure. Only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lang w:val="en-US"/>
        </w:rPr>
      </w:pPr>
      <w:r>
        <w:rPr>
          <w:rFonts w:cs="Times New Roman" w:ascii="Times New Roman" w:hAnsi="Times New Roman"/>
          <w:sz w:val="28"/>
          <w:szCs w:val="28"/>
          <w:lang w:val="en-US"/>
        </w:rPr>
        <w:tab/>
        <w:t>This somewhat simplified logic ignores the factor of technological development and the life cycle of technologies. Which is of strong importance in the time of the 4th Industrial Revolution. Not only an increase in the money supply and aggregate demand can secure the growth of breakthrough technologies. That is especially the truth for the microchips industry, which is the base of the modern digital economy. The microchips industry's development requires many other conditions and actions that go beyond the scope of the actual monetary policy.</w:t>
      </w:r>
    </w:p>
    <w:p>
      <w:pPr>
        <w:pStyle w:val="Normal"/>
        <w:jc w:val="both"/>
        <w:rPr>
          <w:lang w:val="en-US"/>
        </w:rPr>
      </w:pPr>
      <w:r>
        <w:rPr>
          <w:rFonts w:cs="Times New Roman" w:ascii="Times New Roman" w:hAnsi="Times New Roman"/>
          <w:sz w:val="28"/>
          <w:szCs w:val="28"/>
          <w:lang w:val="en-US"/>
        </w:rPr>
        <w:tab/>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lang w:val="en-US"/>
        </w:rPr>
      </w:pPr>
      <w:r>
        <w:rPr>
          <w:rFonts w:cs="Times New Roman" w:ascii="Times New Roman" w:hAnsi="Times New Roman"/>
          <w:sz w:val="28"/>
          <w:szCs w:val="28"/>
          <w:lang w:val="en-US"/>
        </w:rPr>
        <w:tab/>
        <w:t>The trend of the monetary aggregate M2 of Ukraine is shown in the chart below (Fig. 2) [14]. Fig. 3 also shows an increase in the inflation rates and prices for construction work, which illustrates the inflation of investment opportunities [15].</w:t>
      </w:r>
    </w:p>
    <w:p>
      <w:pPr>
        <w:pStyle w:val="Normal"/>
        <w:ind w:firstLine="709"/>
        <w:jc w:val="both"/>
        <w:rPr>
          <w:rFonts w:ascii="Times New Roman" w:hAnsi="Times New Roman" w:cs="Times New Roman"/>
          <w:sz w:val="20"/>
          <w:szCs w:val="20"/>
          <w:lang w:val="en-US"/>
        </w:rPr>
      </w:pPr>
      <w:r>
        <w:rPr>
          <w:rFonts w:cs="Times New Roman" w:ascii="Times New Roman" w:hAnsi="Times New Roman"/>
          <w:sz w:val="20"/>
          <w:szCs w:val="20"/>
          <w:lang w:val="en-US"/>
        </w:rPr>
        <w:drawing>
          <wp:anchor behindDoc="0" distT="0" distB="0" distL="0" distR="0" simplePos="0" locked="0" layoutInCell="0" allowOverlap="1" relativeHeight="6">
            <wp:simplePos x="0" y="0"/>
            <wp:positionH relativeFrom="column">
              <wp:posOffset>3010535</wp:posOffset>
            </wp:positionH>
            <wp:positionV relativeFrom="paragraph">
              <wp:posOffset>146050</wp:posOffset>
            </wp:positionV>
            <wp:extent cx="3090545" cy="239903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5"/>
                    <a:stretch>
                      <a:fillRect/>
                    </a:stretch>
                  </pic:blipFill>
                  <pic:spPr bwMode="auto">
                    <a:xfrm>
                      <a:off x="0" y="0"/>
                      <a:ext cx="3090545" cy="2399030"/>
                    </a:xfrm>
                    <a:prstGeom prst="rect">
                      <a:avLst/>
                    </a:prstGeom>
                  </pic:spPr>
                </pic:pic>
              </a:graphicData>
            </a:graphic>
          </wp:anchor>
        </w:drawing>
        <w:drawing>
          <wp:anchor behindDoc="0" distT="0" distB="0" distL="0" distR="0" simplePos="0" locked="0" layoutInCell="0" allowOverlap="1" relativeHeight="7">
            <wp:simplePos x="0" y="0"/>
            <wp:positionH relativeFrom="column">
              <wp:posOffset>-50800</wp:posOffset>
            </wp:positionH>
            <wp:positionV relativeFrom="paragraph">
              <wp:posOffset>140335</wp:posOffset>
            </wp:positionV>
            <wp:extent cx="3009900" cy="230124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6"/>
                    <a:srcRect l="13838" t="1226" r="3749" b="7912"/>
                    <a:stretch>
                      <a:fillRect/>
                    </a:stretch>
                  </pic:blipFill>
                  <pic:spPr bwMode="auto">
                    <a:xfrm>
                      <a:off x="0" y="0"/>
                      <a:ext cx="3009900" cy="2301240"/>
                    </a:xfrm>
                    <a:prstGeom prst="rect">
                      <a:avLst/>
                    </a:prstGeom>
                    <a:ln w="635">
                      <a:solidFill>
                        <a:srgbClr val="CCCCCC"/>
                      </a:solidFill>
                    </a:ln>
                  </pic:spPr>
                </pic:pic>
              </a:graphicData>
            </a:graphic>
          </wp:anchor>
        </w:drawing>
      </w:r>
    </w:p>
    <w:tbl>
      <w:tblPr>
        <w:tblW w:w="9638" w:type="dxa"/>
        <w:jc w:val="left"/>
        <w:tblInd w:w="55" w:type="dxa"/>
        <w:tblLayout w:type="fixed"/>
        <w:tblCellMar>
          <w:top w:w="55" w:type="dxa"/>
          <w:left w:w="55" w:type="dxa"/>
          <w:bottom w:w="55" w:type="dxa"/>
          <w:right w:w="55" w:type="dxa"/>
        </w:tblCellMar>
      </w:tblPr>
      <w:tblGrid>
        <w:gridCol w:w="4819"/>
        <w:gridCol w:w="4818"/>
      </w:tblGrid>
      <w:tr>
        <w:trPr/>
        <w:tc>
          <w:tcPr>
            <w:tcW w:w="4819"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 xml:space="preserve">Figure 2.  M2, </w:t>
            </w:r>
            <w:r>
              <w:rPr>
                <w:rStyle w:val="Emphasis"/>
                <w:rFonts w:eastAsia="Arial Unicode MS" w:cs="Times New Roman" w:ascii="Times New Roman" w:hAnsi="Times New Roman"/>
                <w:i w:val="false"/>
                <w:color w:val="000000"/>
                <w:sz w:val="28"/>
                <w:szCs w:val="28"/>
                <w:lang w:eastAsia="uk-UA"/>
              </w:rPr>
              <w:t xml:space="preserve">million UAH </w:t>
            </w:r>
            <w:r>
              <w:rPr>
                <w:rStyle w:val="Emphasis"/>
                <w:rFonts w:eastAsia="Arial Unicode MS" w:cs="Times New Roman" w:ascii="Times New Roman" w:hAnsi="Times New Roman"/>
                <w:i w:val="false"/>
                <w:color w:val="000000"/>
                <w:sz w:val="28"/>
                <w:szCs w:val="28"/>
                <w:lang w:eastAsia="uk-UA"/>
              </w:rPr>
              <w:t>(Ukraine)</w:t>
            </w:r>
          </w:p>
        </w:tc>
        <w:tc>
          <w:tcPr>
            <w:tcW w:w="4818"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 xml:space="preserve">Figure. 3. Inflation rates and construction works price indexes  </w:t>
            </w:r>
            <w:r>
              <w:rPr>
                <w:rFonts w:eastAsia="Arial Unicode MS" w:cs="Times New Roman" w:ascii="Times New Roman" w:hAnsi="Times New Roman"/>
                <w:color w:val="000000"/>
                <w:sz w:val="28"/>
                <w:szCs w:val="28"/>
                <w:lang w:eastAsia="uk-UA"/>
              </w:rPr>
              <w:t>(</w:t>
            </w:r>
            <w:r>
              <w:rPr>
                <w:rFonts w:eastAsia="Arial Unicode MS" w:cs="Times New Roman" w:ascii="Times New Roman" w:hAnsi="Times New Roman"/>
                <w:color w:val="000000"/>
                <w:sz w:val="28"/>
                <w:szCs w:val="28"/>
                <w:lang w:eastAsia="uk-UA"/>
              </w:rPr>
              <w:t>Ukraine</w:t>
            </w:r>
            <w:r>
              <w:rPr>
                <w:rFonts w:eastAsia="Arial Unicode MS" w:cs="Times New Roman" w:ascii="Times New Roman" w:hAnsi="Times New Roman"/>
                <w:color w:val="000000"/>
                <w:sz w:val="28"/>
                <w:szCs w:val="28"/>
                <w:lang w:eastAsia="uk-UA"/>
              </w:rPr>
              <w:t>)</w:t>
            </w:r>
          </w:p>
        </w:tc>
      </w:tr>
    </w:tbl>
    <w:p>
      <w:pPr>
        <w:pStyle w:val="Normal"/>
        <w:ind w:hanging="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From the illustrations above it is obvious, that the fall in the real money supply was about 10% between 2015 and 2021. Against the background of a long-term decline in real M2, its notable growth happened only in recent years (about 20% in 2020), while the inflation rate was approximately the same throughout the entire period under consideration.</w:t>
      </w:r>
    </w:p>
    <w:p>
      <w:pPr>
        <w:pStyle w:val="Normal"/>
        <w:ind w:firstLine="709"/>
        <w:jc w:val="both"/>
        <w:rPr>
          <w:lang w:val="en-US"/>
        </w:rPr>
      </w:pPr>
      <w:r>
        <w:rPr>
          <w:rFonts w:cs="Times New Roman" w:ascii="Times New Roman" w:hAnsi="Times New Roman"/>
          <w:sz w:val="28"/>
          <w:szCs w:val="28"/>
          <w:lang w:val="en-US"/>
        </w:rPr>
        <w:t>The correspondence between the money supply and the productivity of the economy is usually measured by the monetization coefficient [16]: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right"/>
        <w:rPr>
          <w:lang w:val="en-US"/>
        </w:rPr>
      </w:pPr>
      <w:r>
        <w:rPr>
          <w:rFonts w:cs="Times New Roman" w:ascii="Times New Roman" w:hAnsi="Times New Roman"/>
          <w:sz w:val="28"/>
          <w:szCs w:val="28"/>
          <w:lang w:val="en-US"/>
        </w:rPr>
        <w:t xml:space="preserve">Km = М2 / GDP, </w:t>
        <w:tab/>
        <w:tab/>
        <w:tab/>
        <w:tab/>
        <w:tab/>
        <w:tab/>
        <w:t>(1)</w:t>
      </w:r>
    </w:p>
    <w:p>
      <w:pPr>
        <w:pStyle w:val="Normal"/>
        <w:jc w:val="both"/>
        <w:rPr>
          <w:lang w:val="en-US"/>
        </w:rPr>
      </w:pPr>
      <w:r>
        <w:rPr>
          <w:rFonts w:cs="Times New Roman" w:ascii="Times New Roman" w:hAnsi="Times New Roman"/>
          <w:sz w:val="28"/>
          <w:szCs w:val="28"/>
          <w:lang w:val="en-US"/>
        </w:rPr>
        <w:t>where: M2 –   monetary supply aggregate;</w:t>
      </w:r>
    </w:p>
    <w:p>
      <w:pPr>
        <w:pStyle w:val="Normal"/>
        <w:jc w:val="both"/>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GDP – gross domestic product.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Following the formula (1), monetization coefficients have been calculated for Ukrainian and several foreign economies. The results are shown in Table. 2.</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right"/>
        <w:rPr>
          <w:lang w:val="en-US"/>
        </w:rPr>
      </w:pPr>
      <w:r>
        <w:rPr>
          <w:rFonts w:cs="Times New Roman" w:ascii="Times New Roman" w:hAnsi="Times New Roman"/>
          <w:sz w:val="28"/>
          <w:szCs w:val="28"/>
          <w:lang w:val="en-US"/>
        </w:rPr>
        <w:t>Table 2.</w:t>
      </w:r>
    </w:p>
    <w:p>
      <w:pPr>
        <w:pStyle w:val="Normal"/>
        <w:ind w:firstLine="709"/>
        <w:jc w:val="center"/>
        <w:rPr>
          <w:lang w:val="en-US"/>
        </w:rPr>
      </w:pPr>
      <w:r>
        <w:rPr>
          <w:rFonts w:cs="Times New Roman" w:ascii="Times New Roman" w:hAnsi="Times New Roman"/>
          <w:sz w:val="28"/>
          <w:szCs w:val="28"/>
          <w:lang w:val="en-US"/>
        </w:rPr>
        <w:t>Global monetization coefficients, 2020</w:t>
      </w:r>
    </w:p>
    <w:tbl>
      <w:tblPr>
        <w:tblW w:w="9636" w:type="dxa"/>
        <w:jc w:val="left"/>
        <w:tblInd w:w="57" w:type="dxa"/>
        <w:tblLayout w:type="fixed"/>
        <w:tblCellMar>
          <w:top w:w="55" w:type="dxa"/>
          <w:left w:w="55" w:type="dxa"/>
          <w:bottom w:w="55" w:type="dxa"/>
          <w:right w:w="55" w:type="dxa"/>
        </w:tblCellMar>
        <w:tblLook w:val="04a0" w:noVBand="1" w:noHBand="0" w:lastColumn="0" w:firstColumn="1" w:lastRow="0" w:firstRow="1"/>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India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China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43%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lang w:val="en-US"/>
              </w:rPr>
            </w:pPr>
            <w:r>
              <w:rPr>
                <w:rFonts w:cs="Times New Roman" w:ascii="Times New Roman" w:hAnsi="Times New Roman"/>
                <w:sz w:val="28"/>
                <w:szCs w:val="28"/>
                <w:lang w:val="en-US"/>
              </w:rPr>
              <w:t>96%</w:t>
            </w:r>
          </w:p>
        </w:tc>
      </w:tr>
    </w:tbl>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TextBody"/>
        <w:ind w:firstLine="709"/>
        <w:jc w:val="both"/>
        <w:rPr>
          <w:lang w:val="en-US"/>
        </w:rPr>
      </w:pPr>
      <w:r>
        <w:rPr>
          <w:rFonts w:cs="Times New Roman" w:ascii="Times New Roman" w:hAnsi="Times New Roman"/>
          <w:color w:val="0E101A"/>
          <w:sz w:val="28"/>
          <w:szCs w:val="28"/>
          <w:lang w:val="en-US"/>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firstLine="709"/>
        <w:jc w:val="both"/>
        <w:rPr>
          <w:lang w:val="en-US"/>
        </w:rPr>
      </w:pPr>
      <w:r>
        <w:rPr>
          <w:rFonts w:cs="Times New Roman" w:ascii="Times New Roman" w:hAnsi="Times New Roman"/>
          <w:color w:val="0E101A"/>
          <w:sz w:val="28"/>
          <w:szCs w:val="28"/>
          <w:lang w:val="en-US"/>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firstLine="709"/>
        <w:jc w:val="both"/>
        <w:rPr>
          <w:lang w:val="en-US"/>
        </w:rPr>
      </w:pPr>
      <w:r>
        <w:rPr>
          <w:rFonts w:cs="Times New Roman" w:ascii="Times New Roman" w:hAnsi="Times New Roman"/>
          <w:color w:val="0E101A"/>
          <w:sz w:val="28"/>
          <w:szCs w:val="28"/>
          <w:lang w:val="en-US"/>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firstLine="709"/>
        <w:jc w:val="both"/>
        <w:rPr>
          <w:lang w:val="en-US"/>
        </w:rPr>
      </w:pPr>
      <w:r>
        <w:rPr>
          <w:rFonts w:cs="Times New Roman" w:ascii="Times New Roman" w:hAnsi="Times New Roman"/>
          <w:color w:val="0E101A"/>
          <w:sz w:val="28"/>
          <w:szCs w:val="28"/>
          <w:lang w:val="en-US"/>
        </w:rPr>
        <w:t>Some authors study the differences in monetary policy and its impact on inflation and GDP growth for countries with distinct economic or socio-cultural conditions.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lang w:val="en-US"/>
        </w:rPr>
      </w:pPr>
      <w:r>
        <w:rPr>
          <w:rFonts w:cs="Times New Roman" w:ascii="Times New Roman" w:hAnsi="Times New Roman"/>
          <w:color w:val="0E101A"/>
          <w:sz w:val="28"/>
          <w:szCs w:val="28"/>
          <w:lang w:val="en-US"/>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firstLine="709"/>
        <w:jc w:val="both"/>
        <w:rPr>
          <w:rFonts w:ascii="Times New Roman" w:hAnsi="Times New Roman" w:cs="Times New Roman"/>
          <w:color w:val="0E101A"/>
          <w:sz w:val="28"/>
          <w:szCs w:val="28"/>
          <w:lang w:val="en-US"/>
        </w:rPr>
      </w:pPr>
      <w:r>
        <w:rPr>
          <w:rFonts w:cs="Times New Roman" w:ascii="Times New Roman" w:hAnsi="Times New Roman"/>
          <w:color w:val="0E101A"/>
          <w:sz w:val="28"/>
          <w:szCs w:val="28"/>
          <w:lang w:val="en-US"/>
        </w:rPr>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2"/>
        <w:ind w:hanging="0"/>
        <w:rPr>
          <w:lang w:val="en-US"/>
        </w:rPr>
      </w:pPr>
      <w:r>
        <w:rPr>
          <w:lang w:val="en-US"/>
        </w:rPr>
        <w:t xml:space="preserve">Analysis of relationship between the real money supply and investment </w:t>
      </w:r>
    </w:p>
    <w:p>
      <w:pPr>
        <w:pStyle w:val="Normal"/>
        <w:jc w:val="both"/>
        <w:rPr>
          <w:lang w:val="en-US"/>
        </w:rPr>
      </w:pPr>
      <w:r>
        <w:rPr>
          <w:rFonts w:cs="Times New Roman" w:ascii="Times New Roman" w:hAnsi="Times New Roman"/>
          <w:color w:val="0E101A"/>
          <w:sz w:val="28"/>
          <w:szCs w:val="28"/>
          <w:lang w:val="en-US"/>
        </w:rPr>
        <w:tab/>
        <w:t>As the information base for the study, the official statistics of the World Bank were taken (including M2 monetary aggregate, gross investment, GDP, and population for individual countries) for the period 2006–2020. The period deliberately was chosen from the year before the real-estate bubble burst to the year when the "COVID-19" crisis began. The influence of the latter one on the world economy has not yet ceased, and in certain markets, for example, electronics, it is only increasing these days [23].</w:t>
      </w:r>
    </w:p>
    <w:p>
      <w:pPr>
        <w:pStyle w:val="Normal"/>
        <w:jc w:val="both"/>
        <w:rPr>
          <w:lang w:val="en-US"/>
        </w:rPr>
      </w:pPr>
      <w:r>
        <w:rPr>
          <w:rFonts w:cs="Times New Roman" w:ascii="Times New Roman" w:hAnsi="Times New Roman"/>
          <w:color w:val="0E101A"/>
          <w:sz w:val="28"/>
          <w:szCs w:val="28"/>
          <w:lang w:val="en-US"/>
        </w:rPr>
        <w:tab/>
        <w:t>The calculations were accomplished using the statistics and machine learning library Scikit-learn [24] in Python programming language. The code and its execution results are given as an interactive notebook and are available at the following link on GitHub [25].</w:t>
      </w:r>
    </w:p>
    <w:p>
      <w:pPr>
        <w:pStyle w:val="Normal"/>
        <w:jc w:val="both"/>
        <w:rPr>
          <w:lang w:val="en-US"/>
        </w:rPr>
      </w:pPr>
      <w:r>
        <w:rPr>
          <w:rFonts w:cs="Times New Roman" w:ascii="Times New Roman" w:hAnsi="Times New Roman"/>
          <w:color w:val="0E101A"/>
          <w:sz w:val="28"/>
          <w:szCs w:val="28"/>
          <w:lang w:val="en-US"/>
        </w:rPr>
        <w:tab/>
        <w:t>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the M2 money aggregate on gross investment was studied (to isolate the investment influence on GDP growth and examine it in its pure form).</w:t>
      </w:r>
    </w:p>
    <w:p>
      <w:pPr>
        <w:pStyle w:val="Normal"/>
        <w:jc w:val="both"/>
        <w:rPr>
          <w:lang w:val="en-US"/>
        </w:rPr>
      </w:pPr>
      <w:r>
        <w:rPr>
          <w:rFonts w:cs="Times New Roman" w:ascii="Times New Roman" w:hAnsi="Times New Roman"/>
          <w:color w:val="0E101A"/>
          <w:sz w:val="28"/>
          <w:szCs w:val="28"/>
          <w:lang w:val="en-US"/>
        </w:rPr>
        <w:tab/>
        <w:t>The relationship between the M2 money aggregate and gross investment was measured by computing the Pearson correlation coefficients [26] for all countries from the World Bank report. Then the empirical threshold for the Pearson coefficient was set at 65%. This threshold helped to separate the countries with a proven relationship between M2 and investment activity. Table 3 below shows a fragment of the top-list, sorted by the correlation strength.</w:t>
      </w:r>
    </w:p>
    <w:p>
      <w:pPr>
        <w:pStyle w:val="Normal"/>
        <w:jc w:val="both"/>
        <w:rPr>
          <w:lang w:val="en-US"/>
        </w:rPr>
      </w:pPr>
      <w:r>
        <w:rPr>
          <w:rFonts w:cs="Times New Roman" w:ascii="Times New Roman" w:hAnsi="Times New Roman"/>
          <w:color w:val="0E101A"/>
          <w:sz w:val="28"/>
          <w:szCs w:val="28"/>
          <w:lang w:val="en-US"/>
        </w:rPr>
        <w:tab/>
        <w:t>The list turned out to be quite heterogeneous. In addition to India, China, the United States, and England, it includes some countries from a completely different division, like Peru and Cambodia. However, 71% of all investigated countries showed a significant relationship between M2 and gross investment. The histogram of Pearson correlation coefficients (Fig. 4) indicates that most countries naturally fall into the "core", that is, a group with the highest degree of correlation.</w:t>
      </w:r>
    </w:p>
    <w:p>
      <w:pPr>
        <w:pStyle w:val="Normal"/>
        <w:jc w:val="both"/>
        <w:rPr>
          <w:lang w:val="en-US"/>
        </w:rPr>
      </w:pPr>
      <w:r>
        <w:rPr>
          <w:rFonts w:cs="Times New Roman" w:ascii="Times New Roman" w:hAnsi="Times New Roman"/>
          <w:color w:val="0E101A"/>
          <w:sz w:val="28"/>
          <w:szCs w:val="28"/>
          <w:lang w:val="en-US"/>
        </w:rPr>
        <w:tab/>
        <w:t xml:space="preserve">And if the observation of time series for individual countries itself only displays a probable similarity in M2 and gross investment tendencies (Fig. 5), then regression analysis proves the existence of a significant relationship between them. </w:t>
      </w:r>
    </w:p>
    <w:p>
      <w:pPr>
        <w:pStyle w:val="Normal"/>
        <w:tabs>
          <w:tab w:val="clear" w:pos="708"/>
          <w:tab w:val="left" w:pos="4395" w:leader="none"/>
        </w:tabs>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clear" w:pos="708"/>
          <w:tab w:val="left" w:pos="4395" w:leader="none"/>
        </w:tabs>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br/>
        <w:t xml:space="preserve"> Table 3.</w:t>
        <w:tab/>
        <w:tab/>
        <w:tab/>
        <w:tab/>
        <w:tab/>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TOP countries by correlation between </w:t>
      </w:r>
    </w:p>
    <w:p>
      <w:pPr>
        <w:pStyle w:val="Normal"/>
        <w:rPr>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М2 and gross investments (2020)</w:t>
      </w:r>
    </w:p>
    <w:tbl>
      <w:tblPr>
        <w:tblW w:w="4395" w:type="dxa"/>
        <w:jc w:val="left"/>
        <w:tblInd w:w="55" w:type="dxa"/>
        <w:tblLayout w:type="fixed"/>
        <w:tblCellMar>
          <w:top w:w="55" w:type="dxa"/>
          <w:left w:w="55" w:type="dxa"/>
          <w:bottom w:w="55" w:type="dxa"/>
          <w:right w:w="55" w:type="dxa"/>
        </w:tblCellMar>
        <w:tblLook w:val="04a0" w:noVBand="1" w:noHBand="0" w:lastColumn="0" w:firstColumn="1" w:lastRow="0" w:firstRow="1"/>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cs="Times New Roman"/>
                <w:b/>
                <w:b/>
                <w:bCs/>
                <w:lang w:val="en-US"/>
              </w:rPr>
            </w:pPr>
            <w:r>
              <w:drawing>
                <wp:anchor behindDoc="0" distT="0" distB="0" distL="0" distR="0" simplePos="0" locked="0" layoutInCell="0" allowOverlap="1" relativeHeight="5">
                  <wp:simplePos x="0" y="0"/>
                  <wp:positionH relativeFrom="column">
                    <wp:posOffset>2933065</wp:posOffset>
                  </wp:positionH>
                  <wp:positionV relativeFrom="paragraph">
                    <wp:posOffset>34290</wp:posOffset>
                  </wp:positionV>
                  <wp:extent cx="2938780" cy="2198370"/>
                  <wp:effectExtent l="0" t="0" r="0" b="0"/>
                  <wp:wrapSquare wrapText="largest"/>
                  <wp:docPr id="4"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Изображение выглядит как текст, седзи&#10;&#10;Автоматически созданное описание"/>
                          <pic:cNvPicPr>
                            <a:picLocks noChangeAspect="1" noChangeArrowheads="1"/>
                          </pic:cNvPicPr>
                        </pic:nvPicPr>
                        <pic:blipFill>
                          <a:blip r:embed="rId7"/>
                          <a:stretch>
                            <a:fillRect/>
                          </a:stretch>
                        </pic:blipFill>
                        <pic:spPr bwMode="auto">
                          <a:xfrm>
                            <a:off x="0" y="0"/>
                            <a:ext cx="2938780" cy="2198370"/>
                          </a:xfrm>
                          <a:prstGeom prst="rect">
                            <a:avLst/>
                          </a:prstGeom>
                        </pic:spPr>
                      </pic:pic>
                    </a:graphicData>
                  </a:graphic>
                </wp:anchor>
              </w:drawing>
              <mc:AlternateContent>
                <mc:Choice Requires="wps">
                  <w:drawing>
                    <wp:anchor behindDoc="0" distT="0" distB="0" distL="0" distR="0" simplePos="0" locked="0" layoutInCell="0" allowOverlap="1" relativeHeight="8" wp14:anchorId="33B17985">
                      <wp:simplePos x="0" y="0"/>
                      <wp:positionH relativeFrom="column">
                        <wp:posOffset>3086735</wp:posOffset>
                      </wp:positionH>
                      <wp:positionV relativeFrom="paragraph">
                        <wp:posOffset>2418080</wp:posOffset>
                      </wp:positionV>
                      <wp:extent cx="2790190" cy="715010"/>
                      <wp:effectExtent l="0" t="0" r="0" b="0"/>
                      <wp:wrapNone/>
                      <wp:docPr id="5" name="Text Frame 1"/>
                      <a:graphic xmlns:a="http://schemas.openxmlformats.org/drawingml/2006/main">
                        <a:graphicData uri="http://schemas.microsoft.com/office/word/2010/wordprocessingShape">
                          <wps:wsp>
                            <wps:cNvSpPr/>
                            <wps:spPr>
                              <a:xfrm>
                                <a:off x="0" y="0"/>
                                <a:ext cx="2790360" cy="71496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0" w:name="tw-target-text"/>
                                  <w:bookmarkEnd w:id="0"/>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43.05pt;margin-top:190.4pt;width:219.65pt;height:56.25pt;mso-wrap-style:square;v-text-anchor:top" wp14:anchorId="33B17985">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4. </w:t>
                            </w:r>
                            <w:bookmarkStart w:id="1" w:name="tw-target-text"/>
                            <w:bookmarkEnd w:id="1"/>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v:textbox>
                      <w10:wrap type="none"/>
                    </v:rect>
                  </w:pict>
                </mc:Fallback>
              </mc:AlternateContent>
            </w:r>
            <w:r>
              <w:rPr>
                <w:rFonts w:cs="Times New Roman" w:ascii="Times New Roman" w:hAnsi="Times New Roman"/>
                <w:b/>
                <w:bCs/>
                <w:lang w:val="en-US"/>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en-US"/>
              </w:rPr>
            </w:pPr>
            <w:r>
              <w:rPr>
                <w:rFonts w:cs="Times New Roman" w:ascii="Times New Roman" w:hAnsi="Times New Roman"/>
                <w:b/>
                <w:bCs/>
                <w:sz w:val="28"/>
                <w:szCs w:val="28"/>
                <w:lang w:val="en-US"/>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GDP per</w:t>
            </w:r>
          </w:p>
          <w:p>
            <w:pPr>
              <w:pStyle w:val="TableContents"/>
              <w:widowControl w:val="false"/>
              <w:jc w:val="both"/>
              <w:rPr>
                <w:rFonts w:ascii="Times New Roman" w:hAnsi="Times New Roman" w:cs="Times New Roman"/>
                <w:b/>
                <w:b/>
                <w:bCs/>
                <w:lang w:val="en-US"/>
              </w:rPr>
            </w:pPr>
            <w:r>
              <w:rPr>
                <w:rFonts w:cs="Times New Roman" w:ascii="Times New Roman" w:hAnsi="Times New Roman"/>
                <w:b/>
                <w:bCs/>
                <w:lang w:val="en-US"/>
              </w:rPr>
              <w:t>capita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2" w:name="tw-target-text12"/>
            <w:bookmarkEnd w:id="2"/>
            <w:r>
              <w:rPr>
                <w:rFonts w:eastAsia="Songti SC" w:cs="Times New Roman" w:ascii="Times New Roman" w:hAnsi="Times New Roman"/>
                <w:kern w:val="2"/>
                <w:sz w:val="24"/>
                <w:szCs w:val="24"/>
                <w:lang w:val="en-US"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3" w:name="tw-target-text13"/>
            <w:bookmarkEnd w:id="3"/>
            <w:r>
              <w:rPr>
                <w:rFonts w:eastAsia="Songti SC" w:cs="Times New Roman" w:ascii="Times New Roman" w:hAnsi="Times New Roman"/>
                <w:kern w:val="2"/>
                <w:sz w:val="24"/>
                <w:szCs w:val="24"/>
                <w:lang w:val="en-US"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4" w:name="tw-target-text14"/>
            <w:bookmarkEnd w:id="4"/>
            <w:r>
              <w:rPr>
                <w:rFonts w:eastAsia="Songti SC" w:cs="Times New Roman" w:ascii="Times New Roman" w:hAnsi="Times New Roman"/>
                <w:kern w:val="2"/>
                <w:sz w:val="24"/>
                <w:szCs w:val="24"/>
                <w:lang w:val="en-US"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5" w:name="tw-target-text15"/>
            <w:bookmarkEnd w:id="5"/>
            <w:r>
              <w:rPr>
                <w:rFonts w:eastAsia="Songti SC" w:cs="Times New Roman" w:ascii="Times New Roman" w:hAnsi="Times New Roman"/>
                <w:kern w:val="2"/>
                <w:sz w:val="24"/>
                <w:szCs w:val="24"/>
                <w:lang w:val="en-US"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6" w:name="tw-target-text16"/>
            <w:bookmarkEnd w:id="6"/>
            <w:r>
              <w:rPr>
                <w:rFonts w:eastAsia="Songti SC" w:cs="Times New Roman" w:ascii="Times New Roman" w:hAnsi="Times New Roman"/>
                <w:kern w:val="2"/>
                <w:sz w:val="24"/>
                <w:szCs w:val="24"/>
                <w:lang w:val="en-US"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7" w:name="tw-target-text17"/>
            <w:bookmarkEnd w:id="7"/>
            <w:r>
              <w:rPr>
                <w:rFonts w:eastAsia="Songti SC" w:cs="Times New Roman" w:ascii="Times New Roman" w:hAnsi="Times New Roman"/>
                <w:kern w:val="2"/>
                <w:sz w:val="24"/>
                <w:szCs w:val="24"/>
                <w:lang w:val="en-US"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5258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r>
              <w:rPr>
                <w:rFonts w:eastAsia="Songti SC" w:cs="Times New Roman" w:ascii="Times New Roman" w:hAnsi="Times New Roman"/>
                <w:kern w:val="2"/>
                <w:sz w:val="24"/>
                <w:szCs w:val="24"/>
                <w:lang w:val="en-US" w:eastAsia="zh-CN" w:bidi="hi-IN"/>
              </w:rPr>
              <w:t>S.Korea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8" w:name="tw-target-text19"/>
            <w:bookmarkEnd w:id="8"/>
            <w:r>
              <w:rPr>
                <w:rFonts w:eastAsia="Songti SC" w:cs="Times New Roman" w:ascii="Times New Roman" w:hAnsi="Times New Roman"/>
                <w:kern w:val="2"/>
                <w:sz w:val="24"/>
                <w:szCs w:val="24"/>
                <w:lang w:val="en-US"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9" w:name="tw-target-text20"/>
            <w:bookmarkEnd w:id="9"/>
            <w:r>
              <w:rPr>
                <w:rFonts w:eastAsia="Songti SC" w:cs="Times New Roman" w:ascii="Times New Roman" w:hAnsi="Times New Roman"/>
                <w:kern w:val="2"/>
                <w:sz w:val="24"/>
                <w:szCs w:val="24"/>
                <w:lang w:val="en-US"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lang w:val="en-US"/>
              </w:rPr>
            </w:pPr>
            <w:r>
              <w:rPr>
                <w:rFonts w:cs="Times New Roman" w:ascii="Times New Roman" w:hAnsi="Times New Roman"/>
                <w:lang w:val="en-US"/>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val="en-US" w:eastAsia="zh-CN" w:bidi="hi-IN"/>
              </w:rPr>
            </w:pPr>
            <w:bookmarkStart w:id="10" w:name="tw-target-text21"/>
            <w:bookmarkEnd w:id="10"/>
            <w:r>
              <w:rPr>
                <w:rFonts w:eastAsia="Songti SC" w:cs="Times New Roman" w:ascii="Times New Roman" w:hAnsi="Times New Roman"/>
                <w:kern w:val="2"/>
                <w:sz w:val="24"/>
                <w:szCs w:val="24"/>
                <w:lang w:val="en-US"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lang w:val="en-US"/>
              </w:rPr>
            </w:pPr>
            <w:r>
              <w:rPr>
                <w:rFonts w:cs="Times New Roman" w:ascii="Times New Roman" w:hAnsi="Times New Roman"/>
                <w:color w:val="000000"/>
                <w:lang w:val="en-US"/>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lang w:val="en-US"/>
              </w:rPr>
            </w:pPr>
            <w:r>
              <w:rPr>
                <w:rFonts w:cs="Times New Roman" w:ascii="Times New Roman" w:hAnsi="Times New Roman"/>
                <w:color w:val="000000"/>
                <w:lang w:val="en-US"/>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lang w:val="en-US"/>
              </w:rPr>
            </w:pPr>
            <w:r>
              <w:rPr>
                <w:lang w:val="en-US"/>
              </w:rPr>
              <w:t>41 627</w:t>
            </w:r>
          </w:p>
        </w:tc>
      </w:tr>
    </w:tbl>
    <w:p>
      <w:pPr>
        <w:pStyle w:val="Normal"/>
        <w:ind w:firstLine="709"/>
        <w:jc w:val="both"/>
        <w:rPr>
          <w:rFonts w:ascii="Times New Roman" w:hAnsi="Times New Roman" w:cs="Times New Roman"/>
          <w:sz w:val="28"/>
          <w:szCs w:val="28"/>
          <w:lang w:val="en-US"/>
        </w:rPr>
      </w:pPr>
      <w:r>
        <w:rPr/>
      </w:r>
    </w:p>
    <w:p>
      <w:pPr>
        <w:pStyle w:val="Normal"/>
        <w:jc w:val="both"/>
        <w:rPr>
          <w:lang w:val="en-US"/>
        </w:rPr>
      </w:pPr>
      <w:r>
        <w:rPr>
          <w:rFonts w:cs="Times New Roman" w:ascii="Times New Roman" w:hAnsi="Times New Roman"/>
          <w:sz w:val="28"/>
          <w:szCs w:val="28"/>
          <w:lang w:val="en-US"/>
        </w:rPr>
        <w:tab/>
        <w:t>The Turkey example below illustrates this relationship, including the linear regression equation shown in Fig. 6,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lang w:val="en-US"/>
        </w:rPr>
      </w:pPr>
      <w:r>
        <w:rPr>
          <w:lang w:val="en-US"/>
        </w:rPr>
      </w:r>
    </w:p>
    <w:p>
      <w:pPr>
        <w:pStyle w:val="Normal"/>
        <w:jc w:val="both"/>
        <w:rPr>
          <w:lang w:val="en-US"/>
        </w:rPr>
      </w:pPr>
      <w:r>
        <w:rPr>
          <w:lang w:val="en-US"/>
        </w:rPr>
        <w:drawing>
          <wp:anchor behindDoc="0" distT="0" distB="0" distL="0" distR="0" simplePos="0" locked="0" layoutInCell="0" allowOverlap="1" relativeHeight="11">
            <wp:simplePos x="0" y="0"/>
            <wp:positionH relativeFrom="column">
              <wp:posOffset>2954020</wp:posOffset>
            </wp:positionH>
            <wp:positionV relativeFrom="paragraph">
              <wp:posOffset>193040</wp:posOffset>
            </wp:positionV>
            <wp:extent cx="3272790" cy="280416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3272790" cy="2804160"/>
                    </a:xfrm>
                    <a:prstGeom prst="rect">
                      <a:avLst/>
                    </a:prstGeom>
                  </pic:spPr>
                </pic:pic>
              </a:graphicData>
            </a:graphic>
          </wp:anchor>
        </w:drawing>
      </w:r>
    </w:p>
    <w:p>
      <w:pPr>
        <w:pStyle w:val="Normal"/>
        <w:jc w:val="both"/>
        <w:rPr>
          <w:lang w:val="en-US"/>
        </w:rPr>
      </w:pPr>
      <w:r>
        <w:rPr>
          <w:lang w:val="en-US"/>
        </w:rPr>
        <w:drawing>
          <wp:anchor behindDoc="0" distT="0" distB="0" distL="0" distR="0" simplePos="0" locked="0" layoutInCell="0" allowOverlap="1" relativeHeight="10">
            <wp:simplePos x="0" y="0"/>
            <wp:positionH relativeFrom="column">
              <wp:posOffset>-299720</wp:posOffset>
            </wp:positionH>
            <wp:positionV relativeFrom="paragraph">
              <wp:posOffset>22225</wp:posOffset>
            </wp:positionV>
            <wp:extent cx="3273425" cy="253301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3273425" cy="2533015"/>
                    </a:xfrm>
                    <a:prstGeom prst="rect">
                      <a:avLst/>
                    </a:prstGeom>
                  </pic:spPr>
                </pic:pic>
              </a:graphicData>
            </a:graphic>
          </wp:anchor>
        </w:drawing>
      </w:r>
    </w:p>
    <w:p>
      <w:pPr>
        <w:pStyle w:val="Normal"/>
        <w:jc w:val="both"/>
        <w:rPr>
          <w:lang w:val="en-US"/>
        </w:rPr>
      </w:pPr>
      <w:r>
        <w:rPr>
          <w:lang w:val="en-US"/>
        </w:rPr>
      </w:r>
    </w:p>
    <w:tbl>
      <w:tblPr>
        <w:tblW w:w="9638" w:type="dxa"/>
        <w:jc w:val="left"/>
        <w:tblInd w:w="55" w:type="dxa"/>
        <w:tblLayout w:type="fixed"/>
        <w:tblCellMar>
          <w:top w:w="55" w:type="dxa"/>
          <w:left w:w="55" w:type="dxa"/>
          <w:bottom w:w="55" w:type="dxa"/>
          <w:right w:w="55" w:type="dxa"/>
        </w:tblCellMar>
      </w:tblPr>
      <w:tblGrid>
        <w:gridCol w:w="4819"/>
        <w:gridCol w:w="4818"/>
      </w:tblGrid>
      <w:tr>
        <w:trPr/>
        <w:tc>
          <w:tcPr>
            <w:tcW w:w="4819" w:type="dxa"/>
            <w:tcBorders/>
          </w:tcPr>
          <w:p>
            <w:pPr>
              <w:pStyle w:val="Normal"/>
              <w:widowControl w:val="false"/>
              <w:spacing w:lineRule="atLeast" w:line="0" w:before="0" w:after="0"/>
              <w:jc w:val="left"/>
              <w:rPr>
                <w:lang w:val="en-US"/>
              </w:rPr>
            </w:pPr>
            <w:r>
              <w:rPr>
                <w:rFonts w:cs="Times New Roman" w:ascii="Times New Roman" w:hAnsi="Times New Roman"/>
                <w:b w:val="false"/>
                <w:i w:val="false"/>
                <w:strike w:val="false"/>
                <w:dstrike w:val="false"/>
                <w:color w:val="000000"/>
                <w:spacing w:val="0"/>
                <w:sz w:val="28"/>
                <w:szCs w:val="28"/>
                <w:u w:val="none"/>
                <w:lang w:val="en-US"/>
              </w:rPr>
              <w:t xml:space="preserve">Figure 5.  </w:t>
            </w:r>
            <w:r>
              <w:rPr>
                <w:rFonts w:cs="Times New Roman" w:ascii="Times New Roman" w:hAnsi="Times New Roman"/>
                <w:b w:val="false"/>
                <w:i w:val="false"/>
                <w:strike w:val="false"/>
                <w:dstrike w:val="false"/>
                <w:color w:val="000000"/>
                <w:spacing w:val="0"/>
                <w:sz w:val="28"/>
                <w:szCs w:val="28"/>
                <w:u w:val="none"/>
                <w:lang w:val="en-US"/>
              </w:rPr>
              <w:t xml:space="preserve">Broad money </w:t>
            </w:r>
            <w:r>
              <w:rPr>
                <w:rFonts w:cs="Times New Roman" w:ascii="Times New Roman" w:hAnsi="Times New Roman"/>
                <w:b w:val="false"/>
                <w:i w:val="false"/>
                <w:strike w:val="false"/>
                <w:dstrike w:val="false"/>
                <w:color w:val="000000"/>
                <w:spacing w:val="0"/>
                <w:sz w:val="28"/>
                <w:szCs w:val="28"/>
                <w:u w:val="none"/>
                <w:lang w:val="en-US"/>
              </w:rPr>
              <w:t xml:space="preserve">and </w:t>
            </w:r>
            <w:r>
              <w:rPr>
                <w:rFonts w:cs="Times New Roman" w:ascii="Times New Roman" w:hAnsi="Times New Roman"/>
                <w:b w:val="false"/>
                <w:i w:val="false"/>
                <w:strike w:val="false"/>
                <w:dstrike w:val="false"/>
                <w:color w:val="000000"/>
                <w:spacing w:val="0"/>
                <w:sz w:val="28"/>
                <w:szCs w:val="28"/>
                <w:u w:val="none"/>
                <w:lang w:val="en-US"/>
              </w:rPr>
              <w:t>gross capital formation (Turkey)</w:t>
            </w:r>
          </w:p>
        </w:tc>
        <w:tc>
          <w:tcPr>
            <w:tcW w:w="4818" w:type="dxa"/>
            <w:tcBorders/>
          </w:tcPr>
          <w:p>
            <w:pPr>
              <w:pStyle w:val="FrameContents"/>
              <w:widowControl w:val="false"/>
              <w:spacing w:lineRule="auto" w:line="276"/>
              <w:rPr/>
            </w:pPr>
            <w:r>
              <w:rPr>
                <w:rFonts w:eastAsia="Arial Unicode MS" w:cs="Times New Roman" w:ascii="Times New Roman" w:hAnsi="Times New Roman"/>
                <w:color w:val="000000"/>
                <w:sz w:val="28"/>
                <w:szCs w:val="28"/>
                <w:lang w:eastAsia="uk-UA"/>
              </w:rPr>
              <w:t xml:space="preserve">Figure 6. </w:t>
            </w:r>
            <w:r>
              <w:rPr>
                <w:rFonts w:eastAsia="Arial Unicode MS" w:cs="Times New Roman" w:ascii="Times New Roman" w:hAnsi="Times New Roman"/>
                <w:color w:val="000000"/>
                <w:sz w:val="28"/>
                <w:szCs w:val="28"/>
                <w:lang w:eastAsia="uk-UA"/>
              </w:rPr>
              <w:t>R</w:t>
            </w:r>
            <w:r>
              <w:rPr>
                <w:rFonts w:eastAsia="Arial Unicode MS" w:cs="Times New Roman" w:ascii="Times New Roman" w:hAnsi="Times New Roman"/>
                <w:b w:val="false"/>
                <w:i w:val="false"/>
                <w:strike w:val="false"/>
                <w:dstrike w:val="false"/>
                <w:color w:val="000000"/>
                <w:spacing w:val="0"/>
                <w:sz w:val="28"/>
                <w:szCs w:val="28"/>
                <w:u w:val="none"/>
                <w:lang w:eastAsia="uk-UA"/>
              </w:rPr>
              <w:t>egression analysis (Turkey)</w:t>
            </w:r>
          </w:p>
        </w:tc>
      </w:tr>
    </w:tbl>
    <w:p>
      <w:pPr>
        <w:pStyle w:val="Heading2"/>
        <w:ind w:hanging="0"/>
        <w:rPr>
          <w:lang w:val="en-US"/>
        </w:rPr>
      </w:pPr>
      <w:r>
        <w:rPr>
          <w:lang w:val="en-US"/>
        </w:rPr>
        <w:br/>
        <w:t>Further analysis and discussion</w:t>
      </w:r>
    </w:p>
    <w:p>
      <w:pPr>
        <w:pStyle w:val="Normal"/>
        <w:jc w:val="both"/>
        <w:rPr>
          <w:lang w:val="en-US"/>
        </w:rPr>
      </w:pPr>
      <w:r>
        <w:rPr>
          <w:rFonts w:cs="Times New Roman" w:ascii="Times New Roman" w:hAnsi="Times New Roman"/>
          <w:sz w:val="28"/>
          <w:szCs w:val="28"/>
          <w:lang w:val="en-US"/>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lang w:val="en-US"/>
        </w:rPr>
      </w:pPr>
      <w:r>
        <w:rPr>
          <w:rFonts w:cs="Times New Roman" w:ascii="Times New Roman" w:hAnsi="Times New Roman"/>
          <w:sz w:val="28"/>
          <w:szCs w:val="28"/>
          <w:lang w:val="en-US"/>
        </w:rPr>
        <w:tab/>
        <w:t xml:space="preserve">To clarify this hypothesis, the next stage of the study was accomplished. The "nearest neighbors" </w:t>
      </w:r>
      <w:r>
        <w:rPr>
          <w:rFonts w:cs="Times New Roman" w:ascii="Times New Roman" w:hAnsi="Times New Roman"/>
          <w:strike w:val="false"/>
          <w:dstrike w:val="false"/>
          <w:sz w:val="28"/>
          <w:szCs w:val="28"/>
          <w:u w:val="none"/>
          <w:lang w:val="en-US"/>
        </w:rPr>
        <w:t xml:space="preserve">were </w:t>
      </w:r>
      <w:r>
        <w:rPr>
          <w:rFonts w:cs="Times New Roman" w:ascii="Times New Roman" w:hAnsi="Times New Roman"/>
          <w:strike w:val="false"/>
          <w:dstrike w:val="false"/>
          <w:sz w:val="28"/>
          <w:szCs w:val="28"/>
          <w:lang w:val="en-US"/>
        </w:rPr>
        <w:t>chosen</w:t>
      </w:r>
      <w:r>
        <w:rPr>
          <w:rFonts w:cs="Times New Roman" w:ascii="Times New Roman" w:hAnsi="Times New Roman"/>
          <w:sz w:val="28"/>
          <w:szCs w:val="28"/>
          <w:lang w:val="en-US"/>
        </w:rPr>
        <w:t xml:space="preserve"> as an analytical method [27]. The classification of countries was carried out using it. As a result, the countries were separated in a two-dimensional feature space. Namely, per capita income (1) and the tightness (Pearson coefficient) of the relationship between M2 and investment (2). The outcomes of the classification are shown in Fig. 6.</w:t>
      </w:r>
    </w:p>
    <w:p>
      <w:pPr>
        <w:pStyle w:val="Normal"/>
        <w:jc w:val="both"/>
        <w:rPr>
          <w:lang w:val="en-US"/>
        </w:rPr>
      </w:pPr>
      <w:r>
        <w:rPr>
          <w:rFonts w:cs="Times New Roman" w:ascii="Times New Roman" w:hAnsi="Times New Roman"/>
          <w:sz w:val="28"/>
          <w:szCs w:val="28"/>
          <w:lang w:val="en-US"/>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drawing>
          <wp:inline distT="0" distB="0" distL="0" distR="0">
            <wp:extent cx="4344035" cy="323786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344035" cy="3237865"/>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6. “Nearest neighbors” classification</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However, the biggest number of poor countries also belongs to that class. The figure shows them as a dense cluster of blue dots in the lower right corner. At the same time, some middle-income countries (as well as poor ones) are found to belong to the class with a low correlation between M2 and gross investment. Therefore, we can talk about the incorrectness of the hypothesis that the growth of the money supply has a positive effect on investment and GDP growth only for developed and rich countries.</w:t>
      </w:r>
    </w:p>
    <w:p>
      <w:pPr>
        <w:pStyle w:val="Normal"/>
        <w:ind w:firstLine="709"/>
        <w:jc w:val="both"/>
        <w:rPr>
          <w:lang w:val="en-US"/>
        </w:rPr>
      </w:pPr>
      <w:r>
        <w:rPr>
          <w:rFonts w:cs="Times New Roman" w:ascii="Times New Roman" w:hAnsi="Times New Roman"/>
          <w:sz w:val="28"/>
          <w:szCs w:val="28"/>
          <w:lang w:val="en-US"/>
        </w:rPr>
        <w:t>That the vast majority of the analyzed countries ended up in the class with a provable correlation regardless of their wealth and development. The share of such countries was 79%. On the contrary, among the remaining 21%, there are countries with predominantly middle and low per capita income.</w:t>
      </w:r>
    </w:p>
    <w:p>
      <w:pPr>
        <w:pStyle w:val="Normal"/>
        <w:ind w:firstLine="709"/>
        <w:jc w:val="both"/>
        <w:rPr>
          <w:lang w:val="en-US"/>
        </w:rPr>
      </w:pPr>
      <w:r>
        <w:rPr>
          <w:rFonts w:cs="Times New Roman" w:ascii="Times New Roman" w:hAnsi="Times New Roman"/>
          <w:sz w:val="28"/>
          <w:szCs w:val="28"/>
          <w:lang w:val="en-US"/>
        </w:rPr>
        <w:t>To expand the study, countries cluster analysis was executed in the same feature space. These heterogeneous indicators (GDP per capita and correlation coefficient) were also normalized, as in the classification method shown above. The “mean shift” method was applied for this cluster analysis [28.]. The internal parameters of the “mean shift” method were selected based on cross-validation, maximizing the accuracy of separating the countries in the feature space. The results of the analysis are illustrated in Fig. 7. The countries were divided into five clusters, marked in the figure in different colors (with the centers of the clusters marked with larger circles).</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drawing>
          <wp:inline distT="0" distB="0" distL="0" distR="0">
            <wp:extent cx="4037330" cy="312039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4037330" cy="3120390"/>
                    </a:xfrm>
                    <a:prstGeom prst="rect">
                      <a:avLst/>
                    </a:prstGeom>
                  </pic:spPr>
                </pic:pic>
              </a:graphicData>
            </a:graphic>
          </wp:inline>
        </w:drawing>
      </w:r>
    </w:p>
    <w:p>
      <w:pPr>
        <w:pStyle w:val="Normal"/>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jc w:val="center"/>
        <w:rPr>
          <w:lang w:val="en-US"/>
        </w:rPr>
      </w:pPr>
      <w:r>
        <w:rPr>
          <w:rFonts w:cs="Times New Roman" w:ascii="Times New Roman" w:hAnsi="Times New Roman"/>
          <w:sz w:val="28"/>
          <w:szCs w:val="28"/>
          <w:lang w:val="en-US"/>
        </w:rPr>
        <w:t>Figure 7. “Mean shift” clustering</w:t>
      </w:r>
    </w:p>
    <w:p>
      <w:pPr>
        <w:pStyle w:val="Normal"/>
        <w:ind w:firstLine="709"/>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sz w:val="28"/>
          <w:szCs w:val="28"/>
          <w:lang w:val="en-US"/>
        </w:rPr>
        <w:t>The analysis showed that the largest group, marked in blue in the lower right corner, included 78% of the total number of the countries. And these are precisely the countries with a relatively low level of GDP per capita but at the same time a high correlation between M2 and investment. For such countries, the increase of monetization is strongly linked with GDP growth.</w:t>
      </w:r>
    </w:p>
    <w:p>
      <w:pPr>
        <w:pStyle w:val="Normal"/>
        <w:ind w:firstLine="709"/>
        <w:jc w:val="both"/>
        <w:rPr>
          <w:lang w:val="en-US"/>
        </w:rPr>
      </w:pPr>
      <w:r>
        <w:rPr>
          <w:rFonts w:cs="Times New Roman" w:ascii="Times New Roman" w:hAnsi="Times New Roman"/>
          <w:sz w:val="28"/>
          <w:szCs w:val="28"/>
          <w:lang w:val="en-US"/>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firstLine="709"/>
        <w:jc w:val="both"/>
        <w:rPr>
          <w:lang w:val="en-US"/>
        </w:rPr>
      </w:pPr>
      <w:r>
        <w:rPr>
          <w:rFonts w:cs="Times New Roman" w:ascii="Times New Roman" w:hAnsi="Times New Roman"/>
          <w:sz w:val="28"/>
          <w:szCs w:val="28"/>
          <w:lang w:val="en-US"/>
        </w:rPr>
        <w:t>Rich countries in the upper right quadrant of the figure (consisting of two relatively small clusters) have shown, as expected, the strong positive relationship between the M2 money supply and investment growth.</w:t>
      </w:r>
    </w:p>
    <w:p>
      <w:pPr>
        <w:pStyle w:val="Normal"/>
        <w:ind w:firstLine="709"/>
        <w:jc w:val="both"/>
        <w:rPr>
          <w:lang w:val="en-US"/>
        </w:rPr>
      </w:pPr>
      <w:r>
        <w:rPr>
          <w:rFonts w:cs="Times New Roman" w:ascii="Times New Roman" w:hAnsi="Times New Roman"/>
          <w:sz w:val="28"/>
          <w:szCs w:val="28"/>
          <w:lang w:val="en-US"/>
        </w:rPr>
        <w:t>In contrast, the green cluster (low correlation and low per capita income) in the lower-left quadrant predictably includes countries ravaged by war or poverty, such as Ethiopia and Libya.</w:t>
      </w:r>
    </w:p>
    <w:p>
      <w:pPr>
        <w:pStyle w:val="Normal"/>
        <w:ind w:firstLine="709"/>
        <w:jc w:val="both"/>
        <w:rPr>
          <w:lang w:val="en-US"/>
        </w:rPr>
      </w:pPr>
      <w:r>
        <w:rPr>
          <w:rFonts w:cs="Times New Roman" w:ascii="Times New Roman" w:hAnsi="Times New Roman"/>
          <w:sz w:val="28"/>
          <w:szCs w:val="28"/>
          <w:lang w:val="en-US"/>
        </w:rPr>
        <w:t>However, there is also a small group of countries where the relationship between M2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firstLine="709"/>
        <w:jc w:val="both"/>
        <w:rPr>
          <w:lang w:val="en-US"/>
        </w:rPr>
      </w:pPr>
      <w:r>
        <w:rPr>
          <w:rFonts w:cs="Times New Roman" w:ascii="Times New Roman" w:hAnsi="Times New Roman"/>
          <w:b/>
          <w:bCs/>
          <w:sz w:val="28"/>
          <w:szCs w:val="28"/>
          <w:lang w:val="en-US"/>
        </w:rPr>
        <w:t>Conclusions</w:t>
      </w:r>
    </w:p>
    <w:p>
      <w:pPr>
        <w:pStyle w:val="Normal"/>
        <w:ind w:firstLine="709"/>
        <w:jc w:val="both"/>
        <w:rPr>
          <w:lang w:val="en-US"/>
        </w:rPr>
      </w:pPr>
      <w:r>
        <w:rPr>
          <w:rFonts w:cs="Times New Roman" w:ascii="Times New Roman" w:hAnsi="Times New Roman"/>
          <w:sz w:val="28"/>
          <w:szCs w:val="28"/>
          <w:lang w:val="en-US"/>
        </w:rPr>
        <w:t>Money is not just a "blanket" thrown over economy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firstLine="709"/>
        <w:jc w:val="both"/>
        <w:rPr>
          <w:lang w:val="en-US"/>
        </w:rPr>
      </w:pPr>
      <w:r>
        <w:rPr>
          <w:rFonts w:cs="Times New Roman" w:ascii="Times New Roman" w:hAnsi="Times New Roman"/>
          <w:sz w:val="28"/>
          <w:szCs w:val="28"/>
          <w:lang w:val="en-US"/>
        </w:rPr>
        <w:t>As shown by the statistical analysis, money is important, but not always the decisive factor for the growth of investment and GDP. Moreover (and it should be emphasized), this conclusion does not directly depend on the level of economic development. In most world countries (both developed and developing), a strong relationship exists between real money supply and investment. This relationship leads to GDP growth. But at the same time, there are certain rich economies, where the growth of the real money supply is weakly related to the increase of investments. There are also those lagging, where the dependence is almost functional (but until the possibilities of extensive growth are exhausted).</w:t>
      </w:r>
    </w:p>
    <w:p>
      <w:pPr>
        <w:pStyle w:val="Normal"/>
        <w:ind w:firstLine="709"/>
        <w:jc w:val="both"/>
        <w:rPr>
          <w:lang w:val="en-US"/>
        </w:rPr>
      </w:pPr>
      <w:r>
        <w:rPr>
          <w:rFonts w:cs="Times New Roman" w:ascii="Times New Roman" w:hAnsi="Times New Roman"/>
          <w:sz w:val="28"/>
          <w:szCs w:val="28"/>
          <w:lang w:val="en-US"/>
        </w:rPr>
        <w:t>Despite the importance of monetary variables, key factors that influence the "real money supply-investment-GDP" chain should be investigated outside the monetary sphere. The conclusion has long been known but is relatively new for the current conditions. The sustained expansion of the monetary base and the growth of the real money supply do matter. But they cannot by themselves solve the fundamental problems of modernizing economic institutions and bridging technological gaps. Concerning the Ukrainian economy, the regulator has to maintain a stable growth of real money supply. It is essential for solving the accumulated problems, providing that the government creates preconditions for accelerating the national technical and technological development and raising the general level of the economy. Such complex rules for economic policy should be considered a priority for further research in this subject area.</w:t>
      </w:r>
    </w:p>
    <w:p>
      <w:pPr>
        <w:pStyle w:val="Normal"/>
        <w:ind w:firstLine="709"/>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lineRule="auto" w:line="259" w:before="0" w:after="160"/>
        <w:rPr>
          <w:lang w:val="en-US"/>
        </w:rPr>
      </w:pPr>
      <w:r>
        <w:rPr/>
      </w:r>
      <w:r>
        <w:br w:type="page"/>
      </w:r>
    </w:p>
    <w:p>
      <w:pPr>
        <w:pStyle w:val="Heading1"/>
        <w:rPr>
          <w:lang w:val="en-US"/>
        </w:rPr>
      </w:pPr>
      <w:r>
        <w:rPr>
          <w:lang w:val="en-US"/>
        </w:rPr>
        <w:t>References</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rFonts w:ascii="Times New Roman" w:hAnsi="Times New Roman" w:cs="Times New Roman"/>
          <w:sz w:val="28"/>
          <w:szCs w:val="28"/>
          <w:shd w:fill="FFFFFF" w:val="clear"/>
        </w:rPr>
      </w:pPr>
      <w:bookmarkStart w:id="11" w:name="_Ref95048337"/>
      <w:r>
        <w:rPr>
          <w:rFonts w:cs="Times New Roman" w:ascii="Times New Roman" w:hAnsi="Times New Roman"/>
          <w:sz w:val="28"/>
          <w:szCs w:val="28"/>
          <w:shd w:fill="FFFFFF" w:val="clear"/>
        </w:rPr>
        <w:t>Dam</w:t>
      </w:r>
      <w:r>
        <w:rPr>
          <w:rFonts w:cs="Times New Roman" w:ascii="Times New Roman" w:hAnsi="Times New Roman"/>
          <w:i w:val="false"/>
          <w:iCs w:val="false"/>
          <w:sz w:val="28"/>
          <w:szCs w:val="28"/>
          <w:shd w:fill="FFFFFF" w:val="clear"/>
        </w:rPr>
        <w:t xml:space="preserve">iano, Sandri, Itai Agur, Damien Capelle, Giovanni Dell'Ariccia (2022). Monetary Finance: Do Not Touch, or Handle with Care? International Monetary Fund. Retrieved from </w:t>
      </w:r>
      <w:r>
        <w:rPr>
          <w:rFonts w:cs="Times New Roman" w:ascii="Times New Roman" w:hAnsi="Times New Roman"/>
          <w:i/>
          <w:iCs/>
          <w:sz w:val="28"/>
          <w:szCs w:val="28"/>
          <w:shd w:fill="FFFFFF" w:val="clear"/>
        </w:rPr>
        <w:t>https://www.imf.org/en/Publications/Departmental-Papers-Policy-Papers/Issues/2022/01/11/Monetary-Finance-Do-Not-Touch-or-Handle-with-Care-464862</w:t>
      </w:r>
      <w:bookmarkEnd w:id="11"/>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2" w:name="_Ref95048344"/>
      <w:r>
        <w:rPr>
          <w:rFonts w:cs="Times New Roman" w:ascii="Times New Roman" w:hAnsi="Times New Roman"/>
          <w:sz w:val="28"/>
          <w:szCs w:val="28"/>
          <w:shd w:fill="FFFFFF" w:val="clear"/>
        </w:rPr>
        <w:t xml:space="preserve">Vishnevsky, V. (2022). Digital technologies and problems of industrial development. Economics of Ukraine. № 1. P. 47—66. DOI: </w:t>
      </w:r>
      <w:r>
        <w:rPr>
          <w:rFonts w:cs="Times New Roman" w:ascii="Times New Roman" w:hAnsi="Times New Roman"/>
          <w:i/>
          <w:iCs/>
          <w:sz w:val="28"/>
          <w:szCs w:val="28"/>
          <w:shd w:fill="FFFFFF" w:val="clear"/>
        </w:rPr>
        <w:t>https://doi.org/10.15407/economyukr.2022.01.047</w:t>
      </w:r>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lang w:val="ru-RU"/>
        </w:rPr>
        <w:t>с</w:t>
      </w:r>
      <w:r>
        <w:rPr>
          <w:rFonts w:cs="Times New Roman" w:ascii="Times New Roman" w:hAnsi="Times New Roman"/>
          <w:sz w:val="28"/>
          <w:szCs w:val="28"/>
          <w:shd w:fill="FFFFFF" w:val="clear"/>
        </w:rPr>
        <w:t>. 63.</w:t>
      </w:r>
      <w:bookmarkEnd w:id="12"/>
      <w:r>
        <w:rPr>
          <w:rFonts w:cs="Times New Roman" w:ascii="Times New Roman" w:hAnsi="Times New Roman"/>
          <w:sz w:val="28"/>
          <w:szCs w:val="28"/>
          <w:shd w:fill="FFFFFF" w:val="clear"/>
        </w:rPr>
        <w:t xml:space="preserve"> [in Ukrainian].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3" w:name="_Ref94941877"/>
      <w:r>
        <w:rPr>
          <w:rFonts w:cs="Times New Roman" w:ascii="Times New Roman" w:hAnsi="Times New Roman"/>
          <w:sz w:val="28"/>
          <w:szCs w:val="28"/>
          <w:shd w:fill="FFFFFF" w:val="clear"/>
        </w:rPr>
        <w:t xml:space="preserve">Adam, K., Weber, H. (2019). Optimal Trend Inflation. American Economic Review. 2019. Vol. 109.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xml:space="preserve"> 2. P. 702–737.</w:t>
      </w:r>
      <w:bookmarkEnd w:id="13"/>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4" w:name="_Ref94941887"/>
      <w:r>
        <w:rPr>
          <w:rFonts w:cs="Times New Roman" w:ascii="Times New Roman" w:hAnsi="Times New Roman"/>
          <w:sz w:val="28"/>
          <w:szCs w:val="28"/>
          <w:shd w:fill="FFFFFF" w:val="clear"/>
        </w:rPr>
        <w:t>Phillips, A.W. (1958). The Relation Between Unemployment and the Rate of Change of Money Wage Rates in the United Kingdom, 1861-1957. Economica. P. 283-299.</w:t>
      </w:r>
      <w:bookmarkEnd w:id="14"/>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5" w:name="_Ref94941914"/>
      <w:r>
        <w:rPr>
          <w:rFonts w:cs="Times New Roman" w:ascii="Times New Roman" w:hAnsi="Times New Roman"/>
          <w:sz w:val="28"/>
          <w:szCs w:val="28"/>
          <w:shd w:fill="FFFFFF" w:val="clear"/>
        </w:rPr>
        <w:t xml:space="preserve">Kaldor, </w:t>
      </w:r>
      <w:r>
        <w:rPr>
          <w:rFonts w:cs="Times New Roman" w:ascii="Times New Roman" w:hAnsi="Times New Roman"/>
          <w:sz w:val="28"/>
          <w:szCs w:val="28"/>
          <w:shd w:fill="FFFFFF" w:val="clear"/>
        </w:rPr>
        <w:t>N</w:t>
      </w:r>
      <w:r>
        <w:rPr>
          <w:rFonts w:cs="Times New Roman" w:ascii="Times New Roman" w:hAnsi="Times New Roman"/>
          <w:sz w:val="28"/>
          <w:szCs w:val="28"/>
          <w:shd w:fill="FFFFFF" w:val="clear"/>
        </w:rPr>
        <w:t xml:space="preserve">. (1971). Conflicts in National Economic Objectives. </w:t>
      </w:r>
      <w:hyperlink r:id="rId12">
        <w:r>
          <w:rPr>
            <w:rStyle w:val="InternetLink"/>
            <w:rFonts w:eastAsia="Songti SC" w:cs="Times New Roman" w:ascii="Times New Roman" w:hAnsi="Times New Roman"/>
            <w:color w:val="000000"/>
            <w:kern w:val="2"/>
            <w:sz w:val="28"/>
            <w:szCs w:val="28"/>
            <w:u w:val="none" w:color="000000"/>
            <w:shd w:fill="FFFFFF" w:val="clear"/>
            <w:lang w:eastAsia="zh-CN" w:bidi="hi-IN"/>
          </w:rPr>
          <w:t>Economic Journal</w:t>
        </w:r>
      </w:hyperlink>
      <w:r>
        <w:rPr>
          <w:rFonts w:cs="Times New Roman" w:ascii="Times New Roman" w:hAnsi="Times New Roman"/>
          <w:sz w:val="28"/>
          <w:szCs w:val="28"/>
          <w:shd w:fill="FFFFFF" w:val="clear"/>
        </w:rPr>
        <w:t>. vol. 81, issue 321, pp. 1-16.</w:t>
      </w:r>
      <w:bookmarkEnd w:id="15"/>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6" w:name="_Ref94941979"/>
      <w:r>
        <w:rPr>
          <w:rFonts w:cs="Times New Roman" w:ascii="Times New Roman" w:hAnsi="Times New Roman"/>
          <w:sz w:val="28"/>
          <w:szCs w:val="28"/>
          <w:shd w:fill="FFFFFF" w:val="clear"/>
        </w:rPr>
        <w:t xml:space="preserve">Inflation in the US accelerated to a record since 1982. (2021).  Economic truth. [in Russian]. </w:t>
      </w:r>
      <w:bookmarkEnd w:id="16"/>
    </w:p>
    <w:p>
      <w:pPr>
        <w:pStyle w:val="PreformattedText"/>
        <w:numPr>
          <w:ilvl w:val="0"/>
          <w:numId w:val="1"/>
        </w:numPr>
        <w:pBdr/>
        <w:tabs>
          <w:tab w:val="clear" w:pos="708"/>
          <w:tab w:val="left" w:pos="426" w:leader="none"/>
        </w:tabs>
        <w:suppressAutoHyphens w:val="true"/>
        <w:spacing w:lineRule="auto" w:line="240" w:before="0" w:after="60"/>
        <w:ind w:left="851" w:hanging="851"/>
        <w:jc w:val="left"/>
        <w:rPr/>
      </w:pPr>
      <w:bookmarkStart w:id="17" w:name="tw-target-text1"/>
      <w:bookmarkEnd w:id="17"/>
      <w:r>
        <w:rPr>
          <w:rFonts w:eastAsia="Arial Unicode MS" w:cs="Times New Roman" w:ascii="Times New Roman" w:hAnsi="Times New Roman"/>
          <w:b w:val="false"/>
          <w:i w:val="false"/>
          <w:caps w:val="false"/>
          <w:smallCaps w:val="false"/>
          <w:color w:val="000000"/>
          <w:spacing w:val="0"/>
          <w:sz w:val="28"/>
          <w:szCs w:val="28"/>
          <w:u w:val="none" w:color="000000"/>
          <w:shd w:fill="FFFFFF" w:val="clear"/>
          <w:lang w:val="en-US" w:eastAsia="uk-UA"/>
        </w:rPr>
        <w:t>Zaiko N. (2015). Quantitative Easing in the United States: Implications for Developing Countries. Regional problems of economic transformation, (6 (56)), 96-100.</w:t>
      </w:r>
      <w:bookmarkStart w:id="18" w:name="_Ref94944387"/>
      <w:r>
        <w:rPr>
          <w:rFonts w:cs="Times New Roman" w:ascii="Times New Roman" w:hAnsi="Times New Roman"/>
          <w:sz w:val="28"/>
          <w:szCs w:val="28"/>
          <w:shd w:fill="FFFFFF" w:val="clear"/>
        </w:rPr>
        <w:t xml:space="preserve"> [in Russian].</w:t>
      </w:r>
    </w:p>
    <w:p>
      <w:pPr>
        <w:pStyle w:val="PreformattedText"/>
        <w:numPr>
          <w:ilvl w:val="0"/>
          <w:numId w:val="1"/>
        </w:numPr>
        <w:pBd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sz w:val="28"/>
          <w:szCs w:val="28"/>
          <w:shd w:fill="FFFFFF" w:val="clear"/>
        </w:rPr>
        <w:t xml:space="preserve">Krugman, </w:t>
      </w:r>
      <w:r>
        <w:rPr>
          <w:rFonts w:cs="Times New Roman" w:ascii="Times New Roman" w:hAnsi="Times New Roman"/>
          <w:sz w:val="28"/>
          <w:szCs w:val="28"/>
          <w:shd w:fill="FFFFFF" w:val="clear"/>
        </w:rPr>
        <w:t>P</w:t>
      </w:r>
      <w:r>
        <w:rPr>
          <w:rFonts w:cs="Times New Roman" w:ascii="Times New Roman" w:hAnsi="Times New Roman"/>
          <w:sz w:val="28"/>
          <w:szCs w:val="28"/>
          <w:shd w:fill="FFFFFF" w:val="clear"/>
        </w:rPr>
        <w:t>. (2010). Why Is Deflation Bad. The New York Times.</w:t>
      </w:r>
      <w:bookmarkEnd w:id="18"/>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19" w:name="_Ref94944410"/>
      <w:bookmarkEnd w:id="19"/>
      <w:r>
        <w:rPr>
          <w:rFonts w:cs="Times New Roman" w:ascii="Times New Roman" w:hAnsi="Times New Roman"/>
          <w:sz w:val="28"/>
          <w:szCs w:val="28"/>
          <w:shd w:fill="FFFFFF" w:val="clear"/>
        </w:rPr>
        <w:t xml:space="preserve">Stiglitz, J. (2008). Inflation Targeting: A Test of Reality. News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88.</w:t>
      </w:r>
      <w:r>
        <w:rPr>
          <w:rFonts w:cs="Times New Roman" w:ascii="Times New Roman" w:hAnsi="Times New Roman"/>
          <w:sz w:val="28"/>
          <w:szCs w:val="28"/>
          <w:shd w:fill="FFFFFF" w:val="clear"/>
          <w:lang w:val="ru-RU"/>
        </w:rPr>
        <w:t xml:space="preserve"> </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0" w:name="_Ref94944410"/>
      <w:bookmarkStart w:id="21" w:name="_Ref94944420"/>
      <w:bookmarkEnd w:id="20"/>
      <w:bookmarkEnd w:id="21"/>
      <w:r>
        <w:rPr>
          <w:rFonts w:cs="Times New Roman" w:ascii="Times New Roman" w:hAnsi="Times New Roman"/>
          <w:sz w:val="28"/>
          <w:szCs w:val="28"/>
          <w:shd w:fill="FFFFFF" w:val="clear"/>
        </w:rPr>
        <w:t>Perevyshina, E.A. (2017). Influence of inflation on the pace of economic growth. Finance and cre</w:t>
      </w:r>
      <w:r>
        <w:rPr>
          <w:rFonts w:cs="Times New Roman" w:ascii="Times New Roman" w:hAnsi="Times New Roman"/>
          <w:sz w:val="28"/>
          <w:szCs w:val="28"/>
          <w:u w:val="none" w:color="000000"/>
          <w:shd w:fill="FFFFFF" w:val="clear"/>
        </w:rPr>
        <w:t>dit. №9. [in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2" w:name="_Ref94944420"/>
      <w:bookmarkStart w:id="23" w:name="_Ref94944428"/>
      <w:bookmarkEnd w:id="22"/>
      <w:r>
        <w:rPr>
          <w:rFonts w:cs="Times New Roman" w:ascii="Times New Roman" w:hAnsi="Times New Roman"/>
          <w:sz w:val="28"/>
          <w:szCs w:val="28"/>
          <w:u w:val="none" w:color="000000"/>
          <w:shd w:fill="FFFFFF" w:val="clear"/>
        </w:rPr>
        <w:t>Kartaev, F</w:t>
      </w:r>
      <w:r>
        <w:rPr>
          <w:rFonts w:eastAsia="Arial Unicode MS" w:cs="Times New Roman" w:ascii="Times New Roman" w:hAnsi="Times New Roman"/>
          <w:color w:val="000000"/>
          <w:sz w:val="28"/>
          <w:szCs w:val="28"/>
          <w:u w:val="none" w:color="000000"/>
          <w:shd w:fill="FFFFFF" w:val="clear"/>
          <w:lang w:val="en-US" w:eastAsia="uk-UA"/>
        </w:rPr>
        <w:t xml:space="preserve">. (2017). Is inflation targeting good for economic growth? </w:t>
      </w:r>
      <w:r>
        <w:rPr>
          <w:rStyle w:val="Emphasis"/>
          <w:rFonts w:eastAsia="Arial Unicode MS" w:cs="Times New Roman" w:ascii="Times New Roman" w:hAnsi="Times New Roman"/>
          <w:b w:val="false"/>
          <w:i w:val="false"/>
          <w:iCs w:val="false"/>
          <w:color w:val="000000"/>
          <w:spacing w:val="0"/>
          <w:sz w:val="28"/>
          <w:szCs w:val="28"/>
          <w:u w:val="none" w:color="000000"/>
          <w:shd w:fill="FFFFFF" w:val="clear"/>
          <w:lang w:val="en-US" w:eastAsia="uk-UA"/>
        </w:rPr>
        <w:t>Voprosy Ekonomiki</w:t>
      </w:r>
      <w:r>
        <w:rPr>
          <w:rFonts w:eastAsia="Arial Unicode MS" w:cs="Times New Roman" w:ascii="Times New Roman" w:hAnsi="Times New Roman"/>
          <w:color w:val="000000"/>
          <w:sz w:val="28"/>
          <w:szCs w:val="28"/>
          <w:u w:val="none" w:color="000000"/>
          <w:shd w:fill="FFFFFF" w:val="clear"/>
          <w:lang w:val="en-US" w:eastAsia="uk-UA"/>
        </w:rPr>
        <w:t xml:space="preserve">. №2. </w:t>
      </w:r>
      <w:r>
        <w:rPr>
          <w:rFonts w:cs="Times New Roman" w:ascii="Times New Roman" w:hAnsi="Times New Roman"/>
          <w:color w:val="000000"/>
          <w:sz w:val="28"/>
          <w:szCs w:val="28"/>
          <w:u w:val="none" w:color="000000"/>
          <w:shd w:fill="FFFFFF" w:val="clear"/>
        </w:rPr>
        <w:t>[in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color w:val="000000"/>
          <w:sz w:val="28"/>
          <w:szCs w:val="28"/>
          <w:u w:val="none" w:color="000000"/>
          <w:shd w:fill="FFFFFF" w:val="clear"/>
        </w:rPr>
        <w:t xml:space="preserve">Stiglitz, J. </w:t>
      </w:r>
      <w:r>
        <w:rPr>
          <w:rFonts w:cs="Times New Roman" w:ascii="Times New Roman" w:hAnsi="Times New Roman"/>
          <w:color w:val="000000"/>
          <w:sz w:val="28"/>
          <w:szCs w:val="28"/>
          <w:u w:val="none" w:color="000000"/>
          <w:shd w:fill="FFFFFF" w:val="clear"/>
        </w:rPr>
        <w:t>(2008</w:t>
      </w:r>
      <w:r>
        <w:rPr>
          <w:rFonts w:cs="Times New Roman" w:ascii="Times New Roman" w:hAnsi="Times New Roman"/>
          <w:color w:val="000000"/>
          <w:sz w:val="28"/>
          <w:szCs w:val="28"/>
          <w:u w:val="none" w:color="000000"/>
          <w:shd w:fill="FFFFFF" w:val="clear"/>
        </w:rPr>
        <w:t>, May 6)</w:t>
      </w:r>
      <w:r>
        <w:rPr>
          <w:rFonts w:cs="Times New Roman" w:ascii="Times New Roman" w:hAnsi="Times New Roman"/>
          <w:color w:val="000000"/>
          <w:sz w:val="28"/>
          <w:szCs w:val="28"/>
          <w:u w:val="none" w:color="000000"/>
          <w:shd w:fill="FFFFFF" w:val="clear"/>
        </w:rPr>
        <w:t xml:space="preserve">). </w:t>
      </w:r>
      <w:r>
        <w:rPr>
          <w:rFonts w:cs="Times New Roman" w:ascii="Times New Roman" w:hAnsi="Times New Roman"/>
          <w:color w:val="000000"/>
          <w:sz w:val="28"/>
          <w:szCs w:val="28"/>
          <w:u w:val="none" w:color="000000"/>
          <w:shd w:fill="FFFFFF" w:val="clear"/>
        </w:rPr>
        <w:t xml:space="preserve">The Failure of Inflation Targeting. </w:t>
      </w:r>
      <w:r>
        <w:rPr>
          <w:rFonts w:cs="Times New Roman" w:ascii="Times New Roman" w:hAnsi="Times New Roman"/>
          <w:color w:val="000000"/>
          <w:sz w:val="28"/>
          <w:szCs w:val="28"/>
          <w:u w:val="none" w:color="000000"/>
          <w:shd w:fill="FFFFFF" w:val="clear"/>
        </w:rPr>
        <w:t xml:space="preserve">Project Sindicate. </w:t>
      </w:r>
      <w:r>
        <w:rPr>
          <w:rFonts w:cs="Times New Roman" w:ascii="Times New Roman" w:hAnsi="Times New Roman"/>
          <w:color w:val="000000"/>
          <w:sz w:val="28"/>
          <w:szCs w:val="28"/>
          <w:u w:val="none" w:color="000000"/>
          <w:shd w:fill="FFFFFF" w:val="clear"/>
        </w:rPr>
        <w:t xml:space="preserve">Retrieved from </w:t>
      </w:r>
      <w:bookmarkEnd w:id="23"/>
      <w:r>
        <w:rPr>
          <w:rStyle w:val="InternetLink"/>
          <w:rFonts w:eastAsia="Songti SC" w:cs="Times New Roman" w:ascii="Times New Roman" w:hAnsi="Times New Roman"/>
          <w:color w:val="000000"/>
          <w:kern w:val="2"/>
          <w:sz w:val="28"/>
          <w:szCs w:val="28"/>
          <w:u w:val="none" w:color="000000"/>
          <w:shd w:fill="FFFFFF" w:val="clear"/>
          <w:lang w:eastAsia="zh-CN" w:bidi="hi-IN"/>
        </w:rPr>
        <w:t>.</w:t>
      </w:r>
      <w:hyperlink r:id="rId13">
        <w:r>
          <w:rPr>
            <w:rStyle w:val="InternetLink"/>
            <w:rFonts w:eastAsia="Songti SC" w:cs="Times New Roman" w:ascii="Times New Roman" w:hAnsi="Times New Roman"/>
            <w:i/>
            <w:iCs/>
            <w:color w:val="000000"/>
            <w:kern w:val="2"/>
            <w:sz w:val="28"/>
            <w:szCs w:val="28"/>
            <w:u w:val="none" w:color="000000"/>
            <w:shd w:fill="FFFFFF" w:val="clear"/>
            <w:lang w:eastAsia="zh-CN" w:bidi="hi-IN"/>
          </w:rPr>
          <w:t>http://www.project-sindicate.org</w:t>
        </w:r>
      </w:hyperlink>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4" w:name="_Ref94944442"/>
      <w:r>
        <w:rPr>
          <w:rFonts w:cs="Times New Roman" w:ascii="Times New Roman" w:hAnsi="Times New Roman"/>
          <w:sz w:val="28"/>
          <w:szCs w:val="28"/>
          <w:shd w:fill="FFFFFF" w:val="clear"/>
        </w:rPr>
        <w:t>Blinov, S. (2015</w:t>
      </w:r>
      <w:r>
        <w:rPr>
          <w:rFonts w:cs="Times New Roman" w:ascii="Times New Roman" w:hAnsi="Times New Roman"/>
          <w:sz w:val="28"/>
          <w:szCs w:val="28"/>
          <w:shd w:fill="FFFFFF" w:val="clear"/>
        </w:rPr>
        <w:t>)</w:t>
      </w:r>
      <w:r>
        <w:rPr>
          <w:rFonts w:cs="Times New Roman" w:ascii="Times New Roman" w:hAnsi="Times New Roman"/>
          <w:sz w:val="28"/>
          <w:szCs w:val="28"/>
          <w:shd w:fill="FFFFFF" w:val="clear"/>
        </w:rPr>
        <w:t xml:space="preserve">. Real money and economic growth. Munich Personal RePEc Archive.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w:t>
      </w:r>
      <w:hyperlink r:id="rId14">
        <w:bookmarkEnd w:id="24"/>
        <w:r>
          <w:rPr>
            <w:rStyle w:val="InternetLink"/>
            <w:rFonts w:cs="Times New Roman" w:ascii="Times New Roman" w:hAnsi="Times New Roman"/>
            <w:i/>
            <w:iCs/>
            <w:sz w:val="28"/>
            <w:szCs w:val="28"/>
            <w:shd w:fill="FFFFFF" w:val="clear"/>
          </w:rPr>
          <w:t>https://mpra.ub.uni-muenchen.de/id/eprint/67256</w:t>
        </w:r>
      </w:hyperlink>
      <w:r>
        <w:rPr>
          <w:rFonts w:cs="Times New Roman" w:ascii="Times New Roman" w:hAnsi="Times New Roman"/>
          <w:sz w:val="28"/>
          <w:szCs w:val="28"/>
          <w:shd w:fill="FFFFFF" w:val="clear"/>
        </w:rPr>
        <w:t>. [in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5" w:name="_Ref94946609"/>
      <w:r>
        <w:rPr>
          <w:rFonts w:cs="Times New Roman" w:ascii="Times New Roman" w:hAnsi="Times New Roman"/>
          <w:sz w:val="28"/>
          <w:szCs w:val="28"/>
          <w:shd w:fill="FFFFFF" w:val="clear"/>
        </w:rPr>
        <w:t xml:space="preserve">National Bank of Ukraine.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https://bank.gov.ua</w:t>
      </w:r>
      <w:bookmarkEnd w:id="25"/>
      <w:r>
        <w:rPr>
          <w:rFonts w:cs="Times New Roman" w:ascii="Times New Roman" w:hAnsi="Times New Roman"/>
          <w:sz w:val="28"/>
          <w:szCs w:val="28"/>
          <w:shd w:fill="FFFFFF" w:val="clear"/>
        </w:rPr>
        <w:t>.</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6" w:name="_Ref94946625"/>
      <w:r>
        <w:rPr>
          <w:rFonts w:cs="Times New Roman" w:ascii="Times New Roman" w:hAnsi="Times New Roman"/>
          <w:sz w:val="28"/>
          <w:szCs w:val="28"/>
          <w:shd w:fill="FFFFFF" w:val="clear"/>
        </w:rPr>
        <w:t xml:space="preserve">Price index for construction works. Ministry of Finance. Retrieved from </w:t>
      </w:r>
      <w:hyperlink r:id="rId15">
        <w:r>
          <w:rPr>
            <w:rStyle w:val="InternetLink"/>
            <w:rFonts w:eastAsia="Songti SC" w:cs="Times New Roman" w:ascii="Times New Roman" w:hAnsi="Times New Roman"/>
            <w:i/>
            <w:iCs/>
            <w:kern w:val="2"/>
            <w:sz w:val="28"/>
            <w:szCs w:val="28"/>
            <w:shd w:fill="FFFFFF" w:val="clear"/>
            <w:lang w:eastAsia="zh-CN" w:bidi="hi-IN"/>
          </w:rPr>
          <w:t>https://index.minfin.com.ua/economy/index/buildprice/</w:t>
        </w:r>
      </w:hyperlink>
      <w:bookmarkEnd w:id="26"/>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7" w:name="_Ref94946636"/>
      <w:r>
        <w:rPr>
          <w:rFonts w:cs="Times New Roman" w:ascii="Times New Roman" w:hAnsi="Times New Roman"/>
          <w:sz w:val="28"/>
          <w:szCs w:val="28"/>
          <w:shd w:fill="FFFFFF" w:val="clear"/>
        </w:rPr>
        <w:t xml:space="preserve">Pshinko, A., Myamlin, V., Myamlin, S. (2012). Influence of the velocity of circulation of the money supply on the efficiency of the national economy. Science and progress of transport. Bulletin of the Dnepropetrovsk National University of Railway Transport. </w:t>
      </w:r>
      <w:r>
        <w:rPr>
          <w:rFonts w:cs="Times New Roman" w:ascii="Times New Roman" w:hAnsi="Times New Roman"/>
          <w:sz w:val="28"/>
          <w:szCs w:val="28"/>
          <w:shd w:fill="FFFFFF" w:val="clear"/>
          <w:lang w:val="ru-RU"/>
        </w:rPr>
        <w:t>№</w:t>
      </w:r>
      <w:r>
        <w:rPr>
          <w:rFonts w:cs="Times New Roman" w:ascii="Times New Roman" w:hAnsi="Times New Roman"/>
          <w:sz w:val="28"/>
          <w:szCs w:val="28"/>
          <w:shd w:fill="FFFFFF" w:val="clear"/>
        </w:rPr>
        <w:t xml:space="preserve"> 42. [in Ukrainian].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8" w:name="_Ref94946636"/>
      <w:r>
        <w:rPr>
          <w:rFonts w:cs="Times New Roman" w:ascii="Times New Roman" w:hAnsi="Times New Roman"/>
          <w:sz w:val="28"/>
          <w:szCs w:val="28"/>
          <w:shd w:fill="FFFFFF" w:val="clear"/>
        </w:rPr>
        <w:t>Fumio Hayashi. (2001). The 1990s in Japan: A Lost Decade. University of Tokyo.</w:t>
      </w:r>
      <w:bookmarkEnd w:id="28"/>
      <w:r>
        <w:rPr>
          <w:rFonts w:cs="Times New Roman" w:ascii="Times New Roman" w:hAnsi="Times New Roman"/>
          <w:sz w:val="28"/>
          <w:szCs w:val="28"/>
          <w:shd w:fill="FFFFFF" w:val="clear"/>
        </w:rPr>
        <w:t xml:space="preserve"> </w:t>
      </w:r>
      <w:r>
        <w:rPr>
          <w:rFonts w:cs="Times New Roman" w:ascii="Times New Roman" w:hAnsi="Times New Roman"/>
          <w:sz w:val="28"/>
          <w:szCs w:val="28"/>
          <w:shd w:fill="FFFFFF" w:val="clear"/>
        </w:rPr>
        <w:t>D</w:t>
      </w:r>
      <w:r>
        <w:rPr>
          <w:rFonts w:eastAsia="Arial Unicode MS" w:cs="Times New Roman" w:ascii="Times New Roman" w:hAnsi="Times New Roman"/>
          <w:color w:val="000000"/>
          <w:sz w:val="28"/>
          <w:szCs w:val="28"/>
          <w:u w:val="none" w:color="000000"/>
          <w:shd w:fill="FFFFFF" w:val="clear"/>
          <w:lang w:val="en-US" w:eastAsia="uk-UA"/>
        </w:rPr>
        <w:t xml:space="preserve">OI: </w:t>
      </w:r>
      <w:hyperlink r:id="rId16" w:tgtFrame="_blank">
        <w:r>
          <w:rPr>
            <w:rStyle w:val="InternetLink"/>
            <w:rFonts w:eastAsia="Arial Unicode MS" w:cs="Times New Roman" w:ascii="Times New Roman" w:hAnsi="Times New Roman"/>
            <w:b w:val="false"/>
            <w:i/>
            <w:iCs/>
            <w:caps w:val="false"/>
            <w:smallCaps w:val="false"/>
            <w:strike w:val="false"/>
            <w:dstrike w:val="false"/>
            <w:color w:val="000000"/>
            <w:spacing w:val="0"/>
            <w:sz w:val="28"/>
            <w:szCs w:val="28"/>
            <w:u w:val="none" w:color="000000"/>
            <w:effect w:val="none"/>
            <w:shd w:fill="FFFFFF" w:val="clear"/>
            <w:lang w:val="en-US" w:eastAsia="uk-UA"/>
          </w:rPr>
          <w:t>https://doi.org/10.1006/redy.2001.0149</w:t>
        </w:r>
      </w:hyperlink>
      <w:r>
        <w:rPr>
          <w:rFonts w:eastAsia="Arial Unicode MS" w:cs="Times New Roman" w:ascii="Times New Roman" w:hAnsi="Times New Roman"/>
          <w:b w:val="false"/>
          <w:i/>
          <w:iCs/>
          <w:caps w:val="false"/>
          <w:smallCaps w:val="false"/>
          <w:strike w:val="false"/>
          <w:dstrike w:val="false"/>
          <w:color w:val="000000"/>
          <w:spacing w:val="0"/>
          <w:sz w:val="28"/>
          <w:szCs w:val="28"/>
          <w:u w:val="none" w:color="000000"/>
          <w:effect w:val="none"/>
          <w:shd w:fill="FFFFFF" w:val="clear"/>
          <w:lang w:val="en-US" w:eastAsia="uk-UA"/>
        </w:rPr>
        <w:t>.</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r>
        <w:rPr>
          <w:rFonts w:cs="Times New Roman" w:ascii="Times New Roman" w:hAnsi="Times New Roman"/>
          <w:sz w:val="28"/>
          <w:szCs w:val="28"/>
          <w:shd w:fill="FFFFFF" w:val="clear"/>
        </w:rPr>
        <w:t xml:space="preserve">China's Potential Loss From NPLs Estimated At $1 Trillion. (2016). RBC. </w:t>
      </w:r>
      <w:r>
        <w:rPr>
          <w:rFonts w:cs="Times New Roman" w:ascii="Times New Roman" w:hAnsi="Times New Roman"/>
          <w:color w:val="000000" w:themeColor="text1"/>
          <w:sz w:val="28"/>
          <w:szCs w:val="28"/>
          <w:shd w:fill="FFFFFF" w:val="clear"/>
        </w:rPr>
        <w:t>Retrieved from</w:t>
      </w:r>
      <w:r>
        <w:rPr>
          <w:rFonts w:cs="Times New Roman" w:ascii="Times New Roman" w:hAnsi="Times New Roman"/>
          <w:sz w:val="28"/>
          <w:szCs w:val="28"/>
          <w:shd w:fill="FFFFFF" w:val="clear"/>
        </w:rPr>
        <w:t xml:space="preserve"> </w:t>
      </w:r>
      <w:r>
        <w:rPr>
          <w:rFonts w:cs="Times New Roman" w:ascii="Times New Roman" w:hAnsi="Times New Roman"/>
          <w:i/>
          <w:iCs/>
          <w:sz w:val="28"/>
          <w:szCs w:val="28"/>
        </w:rPr>
        <w:t>https://www.rbc.ru/finances/06/05/2016/572c79239a7947861367effd</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29" w:name="_Ref95041636"/>
      <w:r>
        <w:rPr>
          <w:rFonts w:cs="Times New Roman" w:ascii="Times New Roman" w:hAnsi="Times New Roman"/>
          <w:sz w:val="28"/>
          <w:szCs w:val="28"/>
          <w:shd w:fill="FFFFFF" w:val="clear"/>
        </w:rPr>
        <w:t xml:space="preserve">Kartaev, F. (2019). How inflation targeting influences economic growth. </w:t>
      </w:r>
      <w:r>
        <w:rPr>
          <w:rFonts w:cs="Times New Roman" w:ascii="Times New Roman" w:hAnsi="Times New Roman"/>
          <w:sz w:val="28"/>
          <w:szCs w:val="28"/>
          <w:shd w:fill="FFFFFF" w:val="clear"/>
          <w:lang w:val="de-DE"/>
        </w:rPr>
        <w:t>Ekons.</w:t>
      </w:r>
      <w:r>
        <w:rPr>
          <w:rFonts w:cs="Times New Roman" w:ascii="Times New Roman" w:hAnsi="Times New Roman"/>
          <w:sz w:val="28"/>
          <w:szCs w:val="28"/>
          <w:lang w:val="de-DE"/>
        </w:rPr>
        <w:t xml:space="preserve"> </w:t>
      </w:r>
      <w:r>
        <w:rPr>
          <w:rFonts w:cs="Times New Roman" w:ascii="Times New Roman" w:hAnsi="Times New Roman"/>
          <w:sz w:val="28"/>
          <w:szCs w:val="28"/>
        </w:rPr>
        <w:t xml:space="preserve">Retrieved from </w:t>
      </w:r>
      <w:hyperlink r:id="rId17">
        <w:r>
          <w:rPr>
            <w:rStyle w:val="InternetLink"/>
            <w:rFonts w:cs="Times New Roman" w:ascii="Times New Roman" w:hAnsi="Times New Roman"/>
            <w:i/>
            <w:iCs/>
            <w:sz w:val="28"/>
            <w:szCs w:val="28"/>
          </w:rPr>
          <w:t>https://econs.online/articles/opinions/kak-inflyatsionnoe-targetirovanie-vliyaet-na-rost/</w:t>
        </w:r>
      </w:hyperlink>
      <w:bookmarkEnd w:id="29"/>
      <w:r>
        <w:rPr>
          <w:rFonts w:cs="Times New Roman" w:ascii="Times New Roman" w:hAnsi="Times New Roman"/>
          <w:sz w:val="28"/>
          <w:szCs w:val="28"/>
        </w:rPr>
        <w:t xml:space="preserve"> [in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0" w:name="_Ref95041520"/>
      <w:r>
        <w:rPr>
          <w:rFonts w:cs="Times New Roman" w:ascii="Times New Roman" w:hAnsi="Times New Roman"/>
          <w:sz w:val="28"/>
          <w:szCs w:val="28"/>
          <w:shd w:fill="FFFFFF" w:val="clear"/>
        </w:rPr>
        <w:t>Kartaev, F. (2018). Assessment of the impact of monetary policy on economic growth for various groups of countries. Finance: theory and practice. T. 22,</w:t>
      </w:r>
      <w:r>
        <w:rPr>
          <w:rFonts w:cs="Times New Roman" w:ascii="Times New Roman" w:hAnsi="Times New Roman"/>
          <w:sz w:val="28"/>
          <w:szCs w:val="28"/>
        </w:rPr>
        <w:t xml:space="preserve"> №1</w:t>
      </w:r>
      <w:bookmarkEnd w:id="30"/>
      <w:r>
        <w:rPr>
          <w:rFonts w:cs="Times New Roman" w:ascii="Times New Roman" w:hAnsi="Times New Roman"/>
          <w:sz w:val="28"/>
          <w:szCs w:val="28"/>
        </w:rPr>
        <w:t>. [in Russian].</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1" w:name="_Ref95041553"/>
      <w:r>
        <w:rPr>
          <w:rFonts w:cs="Times New Roman" w:ascii="Times New Roman" w:hAnsi="Times New Roman"/>
          <w:sz w:val="28"/>
          <w:szCs w:val="28"/>
        </w:rPr>
        <w:t xml:space="preserve">Klochkova, O. (2017). Modeling the impact of inflation on economic growth for countries with different levels of economic freedom. Economic policy. </w:t>
      </w:r>
      <w:r>
        <w:rPr>
          <w:rFonts w:cs="Times New Roman" w:ascii="Times New Roman" w:hAnsi="Times New Roman"/>
          <w:sz w:val="28"/>
          <w:szCs w:val="28"/>
          <w:lang w:val="ru-RU"/>
        </w:rPr>
        <w:t xml:space="preserve">Т. 12. № 5. </w:t>
      </w:r>
      <w:r>
        <w:rPr>
          <w:rFonts w:cs="Times New Roman" w:ascii="Times New Roman" w:hAnsi="Times New Roman"/>
          <w:sz w:val="28"/>
          <w:szCs w:val="28"/>
        </w:rPr>
        <w:t>p</w:t>
      </w:r>
      <w:r>
        <w:rPr>
          <w:rFonts w:cs="Times New Roman" w:ascii="Times New Roman" w:hAnsi="Times New Roman"/>
          <w:sz w:val="28"/>
          <w:szCs w:val="28"/>
          <w:lang w:val="ru-RU"/>
        </w:rPr>
        <w:t>. 22–41.</w:t>
      </w:r>
      <w:bookmarkEnd w:id="31"/>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2" w:name="_Ref94946678"/>
      <w:r>
        <w:rPr>
          <w:rFonts w:cs="Times New Roman" w:ascii="Times New Roman" w:hAnsi="Times New Roman"/>
          <w:sz w:val="28"/>
          <w:szCs w:val="28"/>
          <w:shd w:fill="FFFFFF" w:val="clear"/>
        </w:rPr>
        <w:t xml:space="preserve">World Bank. </w:t>
      </w:r>
      <w:r>
        <w:rPr>
          <w:rFonts w:cs="Times New Roman" w:ascii="Times New Roman" w:hAnsi="Times New Roman"/>
          <w:sz w:val="28"/>
          <w:szCs w:val="28"/>
        </w:rPr>
        <w:t xml:space="preserve">Retrieved from </w:t>
      </w:r>
      <w:r>
        <w:rPr>
          <w:rFonts w:cs="Times New Roman" w:ascii="Times New Roman" w:hAnsi="Times New Roman"/>
          <w:i/>
          <w:iCs/>
          <w:sz w:val="28"/>
          <w:szCs w:val="28"/>
          <w:shd w:fill="FFFFFF" w:val="clear"/>
        </w:rPr>
        <w:t>https://www.worldbank.org</w:t>
      </w:r>
      <w:bookmarkEnd w:id="32"/>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r>
        <w:rPr>
          <w:rFonts w:eastAsia="Arial Unicode MS" w:cs="Times New Roman" w:ascii="Times New Roman" w:hAnsi="Times New Roman"/>
          <w:color w:val="000000"/>
          <w:sz w:val="28"/>
          <w:szCs w:val="28"/>
          <w:u w:val="none" w:color="000000"/>
          <w:lang w:val="en-US" w:eastAsia="uk-UA"/>
        </w:rPr>
        <w:t xml:space="preserve">Kelion, </w:t>
      </w:r>
      <w:r>
        <w:rPr>
          <w:rFonts w:eastAsia="Arial Unicode MS" w:cs="Times New Roman" w:ascii="Times New Roman" w:hAnsi="Times New Roman"/>
          <w:color w:val="000000"/>
          <w:sz w:val="28"/>
          <w:szCs w:val="28"/>
          <w:u w:val="none" w:color="000000"/>
          <w:lang w:val="en-US" w:eastAsia="uk-UA"/>
        </w:rPr>
        <w:t>L</w:t>
      </w:r>
      <w:r>
        <w:rPr>
          <w:rFonts w:eastAsia="Arial Unicode MS" w:cs="Times New Roman" w:ascii="Times New Roman" w:hAnsi="Times New Roman"/>
          <w:color w:val="000000"/>
          <w:sz w:val="28"/>
          <w:szCs w:val="28"/>
          <w:u w:val="none" w:color="000000"/>
          <w:lang w:val="en-US" w:eastAsia="uk-UA"/>
        </w:rPr>
        <w:t xml:space="preserve">. </w:t>
      </w:r>
      <w:r>
        <w:rPr>
          <w:rFonts w:eastAsia="Arial Unicode MS" w:cs="Times New Roman" w:ascii="Times New Roman" w:hAnsi="Times New Roman"/>
          <w:color w:val="000000"/>
          <w:sz w:val="28"/>
          <w:szCs w:val="28"/>
          <w:u w:val="none" w:color="000000"/>
          <w:lang w:val="en-US" w:eastAsia="uk-UA"/>
        </w:rPr>
        <w:t xml:space="preserve">(2021, February 5). </w:t>
      </w:r>
      <w:r>
        <w:rPr>
          <w:rFonts w:eastAsia="Arial Unicode MS" w:cs="Times New Roman" w:ascii="Times New Roman" w:hAnsi="Times New Roman"/>
          <w:color w:val="000000"/>
          <w:sz w:val="28"/>
          <w:szCs w:val="28"/>
          <w:u w:val="none" w:color="000000"/>
          <w:lang w:val="en-US" w:eastAsia="uk-UA"/>
        </w:rPr>
        <w:t>The world is running out of chips. What does the coronavirus have to do with it and what will happen to electronics no</w:t>
      </w:r>
      <w:bookmarkStart w:id="33" w:name="_Ref94946694"/>
      <w:r>
        <w:rPr>
          <w:rFonts w:eastAsia="Arial Unicode MS" w:cs="Times New Roman" w:ascii="Times New Roman" w:hAnsi="Times New Roman"/>
          <w:color w:val="000000"/>
          <w:sz w:val="28"/>
          <w:szCs w:val="28"/>
          <w:u w:val="none" w:color="000000"/>
          <w:lang w:val="en-US" w:eastAsia="uk-UA"/>
        </w:rPr>
        <w:t>w</w:t>
      </w:r>
      <w:bookmarkEnd w:id="33"/>
      <w:r>
        <w:rPr>
          <w:rFonts w:eastAsia="Arial Unicode MS" w:cs="Times New Roman" w:ascii="Times New Roman" w:hAnsi="Times New Roman"/>
          <w:color w:val="000000"/>
          <w:sz w:val="28"/>
          <w:szCs w:val="28"/>
          <w:u w:val="none" w:color="000000"/>
          <w:lang w:val="en-US" w:eastAsia="uk-UA"/>
        </w:rPr>
        <w:t xml:space="preserve">. BBC. </w:t>
      </w:r>
      <w:r>
        <w:rPr>
          <w:rFonts w:eastAsia="Arial Unicode MS" w:cs="Times New Roman" w:ascii="Times New Roman" w:hAnsi="Times New Roman"/>
          <w:b w:val="false"/>
          <w:bCs w:val="false"/>
          <w:color w:val="000000"/>
          <w:sz w:val="28"/>
          <w:szCs w:val="28"/>
          <w:u w:val="none" w:color="000000"/>
          <w:lang w:val="en-US" w:eastAsia="uk-UA"/>
        </w:rPr>
        <w:t xml:space="preserve">Retrieved from </w:t>
      </w:r>
      <w:hyperlink r:id="rId18">
        <w:r>
          <w:rPr>
            <w:rStyle w:val="InternetLink"/>
            <w:rFonts w:eastAsia="Arial Unicode MS" w:cs="Times New Roman" w:ascii="Times New Roman" w:hAnsi="Times New Roman"/>
            <w:b w:val="false"/>
            <w:bCs w:val="false"/>
            <w:i/>
            <w:iCs/>
            <w:color w:val="000000"/>
            <w:sz w:val="28"/>
            <w:szCs w:val="28"/>
            <w:u w:val="none" w:color="000000"/>
            <w:lang w:val="en-US" w:eastAsia="uk-UA"/>
          </w:rPr>
          <w:t>https://www.bbc.com/russian/news-55950090</w:t>
        </w:r>
      </w:hyperlink>
      <w:r>
        <w:rPr>
          <w:rFonts w:eastAsia="Arial Unicode MS" w:cs="Times New Roman" w:ascii="Times New Roman" w:hAnsi="Times New Roman"/>
          <w:b w:val="false"/>
          <w:bCs w:val="false"/>
          <w:color w:val="000000"/>
          <w:sz w:val="28"/>
          <w:szCs w:val="28"/>
          <w:u w:val="none" w:color="000000"/>
          <w:lang w:val="en-US" w:eastAsia="uk-UA"/>
        </w:rPr>
        <w:t xml:space="preserve"> [in Russian]. </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4" w:name="_Ref94946716"/>
      <w:r>
        <w:rPr>
          <w:rFonts w:cs="Times New Roman" w:ascii="Times New Roman" w:hAnsi="Times New Roman"/>
          <w:b w:val="false"/>
          <w:bCs w:val="false"/>
          <w:sz w:val="28"/>
          <w:szCs w:val="28"/>
          <w:shd w:fill="FFFFFF" w:val="clear"/>
        </w:rPr>
        <w:t xml:space="preserve">Scikit-learn. </w:t>
      </w:r>
      <w:r>
        <w:rPr>
          <w:rFonts w:cs="Times New Roman" w:ascii="Times New Roman" w:hAnsi="Times New Roman"/>
          <w:b w:val="false"/>
          <w:bCs w:val="false"/>
          <w:sz w:val="28"/>
          <w:szCs w:val="28"/>
        </w:rPr>
        <w:t>Retrieved from</w:t>
      </w:r>
      <w:r>
        <w:rPr>
          <w:rFonts w:cs="Times New Roman" w:ascii="Times New Roman" w:hAnsi="Times New Roman"/>
          <w:b w:val="false"/>
          <w:bCs w:val="false"/>
          <w:sz w:val="28"/>
          <w:szCs w:val="28"/>
          <w:shd w:fill="FFFFFF" w:val="clear"/>
        </w:rPr>
        <w:t xml:space="preserve"> </w:t>
      </w:r>
      <w:r>
        <w:rPr>
          <w:rFonts w:cs="Times New Roman" w:ascii="Times New Roman" w:hAnsi="Times New Roman"/>
          <w:b w:val="false"/>
          <w:bCs w:val="false"/>
          <w:i/>
          <w:iCs/>
          <w:sz w:val="28"/>
          <w:szCs w:val="28"/>
          <w:shd w:fill="FFFFFF" w:val="clear"/>
        </w:rPr>
        <w:t xml:space="preserve"> </w:t>
      </w:r>
      <w:hyperlink r:id="rId19">
        <w:r>
          <w:rPr>
            <w:rStyle w:val="InternetLink"/>
            <w:rFonts w:cs="Times New Roman" w:ascii="Times New Roman" w:hAnsi="Times New Roman"/>
            <w:b w:val="false"/>
            <w:bCs w:val="false"/>
            <w:i/>
            <w:iCs/>
            <w:sz w:val="28"/>
            <w:szCs w:val="28"/>
            <w:shd w:fill="FFFFFF" w:val="clear"/>
          </w:rPr>
          <w:t>https://scikit-learn.org/</w:t>
        </w:r>
      </w:hyperlink>
      <w:bookmarkEnd w:id="34"/>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r>
        <w:rPr>
          <w:rStyle w:val="StrongEmphasis"/>
          <w:rFonts w:eastAsia="Arial Unicode MS" w:cs="Times New Roman" w:ascii="Times New Roman" w:hAnsi="Times New Roman"/>
          <w:b w:val="false"/>
          <w:bCs w:val="false"/>
          <w:i w:val="false"/>
          <w:caps w:val="false"/>
          <w:smallCaps w:val="false"/>
          <w:strike w:val="false"/>
          <w:dstrike w:val="false"/>
          <w:color w:val="000000"/>
          <w:spacing w:val="0"/>
          <w:sz w:val="28"/>
          <w:szCs w:val="28"/>
          <w:u w:val="none" w:color="000000"/>
          <w:effect w:val="none"/>
          <w:shd w:fill="FFFFFF" w:val="clear"/>
          <w:lang w:val="en-US" w:eastAsia="uk-UA"/>
        </w:rPr>
        <w:t xml:space="preserve">Lypnytska, P. </w:t>
      </w:r>
      <w:hyperlink r:id="rId20">
        <w:r>
          <w:rPr>
            <w:rStyle w:val="InternetLink"/>
            <w:rFonts w:eastAsia="Arial Unicode MS" w:cs="Times New Roman" w:ascii="Times New Roman" w:hAnsi="Times New Roman"/>
            <w:b w:val="false"/>
            <w:bCs w:val="false"/>
            <w:i w:val="false"/>
            <w:caps w:val="false"/>
            <w:smallCaps w:val="false"/>
            <w:strike w:val="false"/>
            <w:dstrike w:val="false"/>
            <w:color w:val="000000"/>
            <w:spacing w:val="0"/>
            <w:sz w:val="28"/>
            <w:szCs w:val="28"/>
            <w:u w:val="none" w:color="000000"/>
            <w:effect w:val="none"/>
            <w:shd w:fill="FFFFFF" w:val="clear"/>
            <w:lang w:val="en-US" w:eastAsia="uk-UA"/>
          </w:rPr>
          <w:t>Invest2M2World</w:t>
        </w:r>
      </w:hyperlink>
      <w:bookmarkStart w:id="35" w:name="_Ref94946727"/>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shd w:fill="FFFFFF" w:val="clear"/>
        </w:rPr>
        <w:t>GitHub</w:t>
      </w:r>
      <w:r>
        <w:rPr>
          <w:rFonts w:cs="Times New Roman" w:ascii="Times New Roman" w:hAnsi="Times New Roman"/>
          <w:sz w:val="28"/>
          <w:szCs w:val="28"/>
          <w:shd w:fill="FFFFFF" w:val="clear"/>
          <w:lang w:val="ru-RU"/>
        </w:rPr>
        <w:t xml:space="preserve">. </w:t>
      </w:r>
      <w:r>
        <w:rPr>
          <w:rFonts w:cs="Times New Roman" w:ascii="Times New Roman" w:hAnsi="Times New Roman"/>
          <w:sz w:val="28"/>
          <w:szCs w:val="28"/>
        </w:rPr>
        <w:t>Retrieved from</w:t>
      </w:r>
      <w:bookmarkEnd w:id="35"/>
      <w:r>
        <w:rPr>
          <w:rFonts w:cs="Times New Roman" w:ascii="Times New Roman" w:hAnsi="Times New Roman"/>
          <w:sz w:val="28"/>
          <w:szCs w:val="28"/>
        </w:rPr>
        <w:t xml:space="preserve"> https://github.com/Polinden/Invest2M2World.</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6" w:name="_Ref94946819"/>
      <w:r>
        <w:rPr>
          <w:rFonts w:cs="Times New Roman" w:ascii="Times New Roman" w:hAnsi="Times New Roman"/>
          <w:color w:val="auto"/>
          <w:sz w:val="28"/>
          <w:szCs w:val="28"/>
        </w:rPr>
        <w:t>All of Sta</w:t>
      </w:r>
      <w:r>
        <w:rPr>
          <w:rFonts w:cs="Times New Roman" w:ascii="Times New Roman" w:hAnsi="Times New Roman"/>
          <w:sz w:val="28"/>
          <w:szCs w:val="28"/>
        </w:rPr>
        <w:t>tistics: A Concise Course in Statistical Inference. (2004). Springer. New York. P. 43</w:t>
      </w:r>
      <w:bookmarkEnd w:id="36"/>
      <w:r>
        <w:rPr>
          <w:rFonts w:cs="Times New Roman" w:ascii="Times New Roman" w:hAnsi="Times New Roman"/>
          <w:sz w:val="28"/>
          <w:szCs w:val="28"/>
        </w:rPr>
        <w:t>4.</w:t>
      </w:r>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7" w:name="_Ref95049267"/>
      <w:r>
        <w:rPr>
          <w:rFonts w:cs="Times New Roman" w:ascii="Times New Roman" w:hAnsi="Times New Roman"/>
          <w:sz w:val="28"/>
          <w:szCs w:val="28"/>
        </w:rPr>
        <w:t xml:space="preserve">Hastie, </w:t>
      </w:r>
      <w:r>
        <w:rPr>
          <w:rFonts w:cs="Times New Roman" w:ascii="Times New Roman" w:hAnsi="Times New Roman"/>
          <w:sz w:val="28"/>
          <w:szCs w:val="28"/>
        </w:rPr>
        <w:t>T</w:t>
      </w:r>
      <w:r>
        <w:rPr>
          <w:rFonts w:cs="Times New Roman" w:ascii="Times New Roman" w:hAnsi="Times New Roman"/>
          <w:sz w:val="28"/>
          <w:szCs w:val="28"/>
        </w:rPr>
        <w:t>. (2017). The Elements of Statistical Learning. Springer. New York. P. 745.</w:t>
      </w:r>
      <w:bookmarkEnd w:id="37"/>
    </w:p>
    <w:p>
      <w:pPr>
        <w:pStyle w:val="ListParagraph"/>
        <w:numPr>
          <w:ilvl w:val="0"/>
          <w:numId w:val="1"/>
        </w:numPr>
        <w:pBdr/>
        <w:tabs>
          <w:tab w:val="clear" w:pos="708"/>
          <w:tab w:val="left" w:pos="426" w:leader="none"/>
        </w:tabs>
        <w:suppressAutoHyphens w:val="true"/>
        <w:spacing w:lineRule="auto" w:line="240" w:before="0" w:after="60"/>
        <w:ind w:left="851" w:hanging="851"/>
        <w:jc w:val="left"/>
        <w:rPr/>
      </w:pPr>
      <w:bookmarkStart w:id="38" w:name="_Ref94946931"/>
      <w:r>
        <w:rPr>
          <w:rFonts w:cs="Times New Roman" w:ascii="Times New Roman" w:hAnsi="Times New Roman"/>
          <w:sz w:val="28"/>
          <w:szCs w:val="28"/>
        </w:rPr>
        <w:t xml:space="preserve">Comaniciu, </w:t>
      </w:r>
      <w:r>
        <w:rPr>
          <w:rFonts w:cs="Times New Roman" w:ascii="Times New Roman" w:hAnsi="Times New Roman"/>
          <w:sz w:val="28"/>
          <w:szCs w:val="28"/>
        </w:rPr>
        <w:t>D</w:t>
      </w:r>
      <w:r>
        <w:rPr>
          <w:rFonts w:cs="Times New Roman" w:ascii="Times New Roman" w:hAnsi="Times New Roman"/>
          <w:sz w:val="28"/>
          <w:szCs w:val="28"/>
        </w:rPr>
        <w:t xml:space="preserve">., Meer, </w:t>
      </w:r>
      <w:r>
        <w:rPr>
          <w:rFonts w:cs="Times New Roman" w:ascii="Times New Roman" w:hAnsi="Times New Roman"/>
          <w:sz w:val="28"/>
          <w:szCs w:val="28"/>
        </w:rPr>
        <w:t>P</w:t>
      </w:r>
      <w:r>
        <w:rPr>
          <w:rFonts w:cs="Times New Roman" w:ascii="Times New Roman" w:hAnsi="Times New Roman"/>
          <w:sz w:val="28"/>
          <w:szCs w:val="28"/>
        </w:rPr>
        <w:t xml:space="preserve">. (2002). Mean Shift: A Robust Approach toward Feature Space Analysis. </w:t>
      </w:r>
      <w:r>
        <w:rPr>
          <w:rStyle w:val="Emphasis"/>
          <w:rFonts w:eastAsia="Songti SC" w:cs="Times New Roman" w:ascii="Times New Roman" w:hAnsi="Times New Roman"/>
          <w:i w:val="false"/>
          <w:kern w:val="2"/>
          <w:sz w:val="28"/>
          <w:szCs w:val="28"/>
          <w:lang w:eastAsia="zh-CN" w:bidi="hi-IN"/>
        </w:rPr>
        <w:t xml:space="preserve">EEE </w:t>
      </w:r>
      <w:r>
        <w:rPr>
          <w:rStyle w:val="Emphasis"/>
          <w:rFonts w:eastAsia="Songti SC" w:cs="Times New Roman" w:ascii="Times New Roman" w:hAnsi="Times New Roman"/>
          <w:i w:val="false"/>
          <w:kern w:val="2"/>
          <w:sz w:val="28"/>
          <w:szCs w:val="28"/>
          <w:shd w:fill="FFFFFF" w:val="clear"/>
          <w:lang w:eastAsia="zh-CN" w:bidi="hi-IN"/>
        </w:rPr>
        <w:t xml:space="preserve">Transactions on Pattern Analysis and Machine Intelligence. </w:t>
      </w:r>
      <w:bookmarkEnd w:id="38"/>
    </w:p>
    <w:p>
      <w:pPr>
        <w:pStyle w:val="Normal"/>
        <w:tabs>
          <w:tab w:val="clear" w:pos="708"/>
          <w:tab w:val="left" w:pos="284" w:leader="none"/>
        </w:tabs>
        <w:spacing w:lineRule="auto" w:line="259" w:before="0" w:after="120"/>
        <w:jc w:val="left"/>
        <w:rPr/>
      </w:pPr>
      <w:r>
        <w:rPr/>
      </w:r>
    </w:p>
    <w:sectPr>
      <w:headerReference w:type="default" r:id="rId21"/>
      <w:type w:val="nextPage"/>
      <w:pgSz w:w="11906" w:h="16838"/>
      <w:pgMar w:left="1701" w:right="567" w:gutter="0" w:header="709" w:top="1134" w:footer="0" w:bottom="1134"/>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xml:space="preserve"> PAGE </w:instrText>
    </w:r>
    <w:r>
      <w:rPr>
        <w:sz w:val="24"/>
        <w:szCs w:val="24"/>
        <w:rFonts w:cs="Times New Roman" w:ascii="Times New Roman" w:hAnsi="Times New Roman"/>
      </w:rPr>
      <w:fldChar w:fldCharType="separate"/>
    </w:r>
    <w:r>
      <w:rPr>
        <w:sz w:val="24"/>
        <w:szCs w:val="24"/>
        <w:rFonts w:cs="Times New Roman" w:ascii="Times New Roman" w:hAnsi="Times New Roman"/>
      </w:rPr>
      <w:t>13</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000000" w:themeColor="text1"/>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paragraph" w:styleId="Heading1">
    <w:name w:val="Heading 1"/>
    <w:basedOn w:val="Normal"/>
    <w:next w:val="Normal"/>
    <w:uiPriority w:val="9"/>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uiPriority w:val="9"/>
    <w:unhideWhenUsed/>
    <w:qFormat/>
    <w:pPr>
      <w:tabs>
        <w:tab w:val="clear" w:pos="708"/>
        <w:tab w:val="left" w:pos="1736" w:leader="none"/>
        <w:tab w:val="left" w:pos="2019" w:leader="none"/>
      </w:tabs>
      <w:spacing w:before="0" w:after="120"/>
      <w:ind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uiPriority w:val="9"/>
    <w:semiHidden/>
    <w:unhideWhenUsed/>
    <w:qFormat/>
    <w:pPr>
      <w:ind w:firstLine="709"/>
      <w:jc w:val="both"/>
      <w:outlineLvl w:val="2"/>
    </w:pPr>
    <w:rPr>
      <w:rFonts w:ascii="Times New Roman" w:hAnsi="Times New Roman" w:cs="Times New Roman"/>
      <w:sz w:val="28"/>
      <w:szCs w:val="28"/>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customStyle="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customStyle="1">
    <w:name w:val="Нижний колонтитул Знак"/>
    <w:basedOn w:val="DefaultParagraphFont"/>
    <w:qFormat/>
    <w:rPr>
      <w:rFonts w:ascii="Calibri" w:hAnsi="Calibri" w:eastAsia="Arial Unicode MS" w:cs="Arial Unicode MS"/>
      <w:color w:val="000000"/>
      <w:u w:val="none"/>
      <w:lang w:eastAsia="uk-UA"/>
    </w:rPr>
  </w:style>
  <w:style w:type="character" w:styleId="1" w:customStyle="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customStyle="1">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Wwwc" w:customStyle="1">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customStyle="1">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customStyle="1">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customStyle="1">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StrongEmphasis" w:customStyle="1">
    <w:name w:val="Strong Emphasis"/>
    <w:qFormat/>
    <w:rPr>
      <w:b/>
      <w:bCs/>
    </w:rPr>
  </w:style>
  <w:style w:type="character" w:styleId="Annotationreference">
    <w:name w:val="annotation reference"/>
    <w:basedOn w:val="DefaultParagraphFont"/>
    <w:uiPriority w:val="99"/>
    <w:semiHidden/>
    <w:unhideWhenUsed/>
    <w:qFormat/>
    <w:rsid w:val="00e40f08"/>
    <w:rPr>
      <w:sz w:val="16"/>
      <w:szCs w:val="16"/>
    </w:rPr>
  </w:style>
  <w:style w:type="character" w:styleId="CommentTextChar" w:customStyle="1">
    <w:name w:val="Comment Text Char"/>
    <w:basedOn w:val="DefaultParagraphFont"/>
    <w:uiPriority w:val="99"/>
    <w:qFormat/>
    <w:rsid w:val="00e40f08"/>
    <w:rPr>
      <w:rFonts w:eastAsia="Arial Unicode MS" w:cs="Arial Unicode MS"/>
      <w:color w:val="000000"/>
      <w:sz w:val="20"/>
      <w:szCs w:val="20"/>
      <w:lang w:eastAsia="uk-UA"/>
    </w:rPr>
  </w:style>
  <w:style w:type="character" w:styleId="CommentSubjectChar" w:customStyle="1">
    <w:name w:val="Comment Subject Char"/>
    <w:basedOn w:val="CommentTextChar"/>
    <w:uiPriority w:val="99"/>
    <w:semiHidden/>
    <w:qFormat/>
    <w:rsid w:val="00e40f08"/>
    <w:rPr>
      <w:rFonts w:eastAsia="Arial Unicode MS" w:cs="Arial Unicode MS"/>
      <w:b/>
      <w:bCs/>
      <w:color w:val="000000"/>
      <w:sz w:val="20"/>
      <w:szCs w:val="20"/>
      <w:lang w:eastAsia="uk-UA"/>
    </w:rPr>
  </w:style>
  <w:style w:type="character" w:styleId="LineNumbering">
    <w:name w:val="Line Numbering"/>
    <w:rPr/>
  </w:style>
  <w:style w:type="character" w:styleId="VisitedInternetLink">
    <w:name w:val="FollowedHyperlink"/>
    <w:basedOn w:val="DefaultParagraphFont"/>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Footer" w:customStyle="1">
    <w:name w:val="Header &amp; Footer"/>
    <w:qFormat/>
    <w:pPr>
      <w:widowControl/>
      <w:tabs>
        <w:tab w:val="clear" w:pos="708"/>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uk-UA" w:bidi="ar-SA"/>
    </w:rPr>
  </w:style>
  <w:style w:type="paragraph" w:styleId="ListParagraph">
    <w:name w:val="List Paragraph"/>
    <w:qFormat/>
    <w:pPr>
      <w:widowControl/>
      <w:suppressAutoHyphens w:val="true"/>
      <w:bidi w:val="0"/>
      <w:spacing w:lineRule="auto" w:line="259" w:before="0" w:after="160"/>
      <w:ind w:left="720" w:hanging="0"/>
      <w:jc w:val="left"/>
    </w:pPr>
    <w:rPr>
      <w:rFonts w:ascii="Calibri" w:hAnsi="Calibri" w:eastAsia="Arial Unicode MS" w:cs="Arial Unicode MS"/>
      <w:color w:val="000000"/>
      <w:kern w:val="0"/>
      <w:sz w:val="22"/>
      <w:szCs w:val="22"/>
      <w:lang w:val="en-US" w:eastAsia="uk-UA" w:bidi="ar-SA"/>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Arial Unicode MS" w:cs="Arial Unicode MS"/>
      <w:color w:val="000000"/>
      <w:kern w:val="0"/>
      <w:sz w:val="20"/>
      <w:szCs w:val="20"/>
      <w:lang w:val="en-US" w:eastAsia="uk-UA" w:bidi="ar-SA"/>
    </w:rPr>
  </w:style>
  <w:style w:type="paragraph" w:styleId="HeaderandFooter" w:customStyle="1">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customStyle="1">
    <w:name w:val="www сноcка"/>
    <w:basedOn w:val="Footnote"/>
    <w:qFormat/>
    <w:pPr>
      <w:ind w:firstLine="709"/>
    </w:pPr>
    <w:rPr>
      <w:rFonts w:ascii="Times New Roman" w:hAnsi="Times New Roman"/>
      <w:sz w:val="24"/>
    </w:rPr>
  </w:style>
  <w:style w:type="paragraph" w:styleId="Default" w:customStyle="1">
    <w:name w:val="Default"/>
    <w:qFormat/>
    <w:pPr>
      <w:widowControl/>
      <w:suppressAutoHyphens w:val="true"/>
      <w:bidi w:val="0"/>
      <w:spacing w:before="0" w:after="0"/>
      <w:jc w:val="left"/>
    </w:pPr>
    <w:rPr>
      <w:rFonts w:ascii="Code" w:hAnsi="Code" w:eastAsia="Calibri" w:cs="Code"/>
      <w:color w:val="000000"/>
      <w:kern w:val="0"/>
      <w:sz w:val="24"/>
      <w:szCs w:val="24"/>
      <w:lang w:val="en-US" w:eastAsia="en-US" w:bidi="ar-SA"/>
    </w:rPr>
  </w:style>
  <w:style w:type="paragraph" w:styleId="BVIfnr" w:customStyle="1">
    <w:name w:val="BVI fnr Знак"/>
    <w:basedOn w:val="Normal"/>
    <w:qFormat/>
    <w:pPr>
      <w:spacing w:lineRule="exact" w:line="240"/>
    </w:pPr>
    <w:rPr>
      <w:rFonts w:eastAsia="Calibri" w:cs="Tahoma"/>
      <w:color w:val="auto"/>
      <w:vertAlign w:val="superscript"/>
      <w:lang w:eastAsia="en-US"/>
    </w:rPr>
  </w:style>
  <w:style w:type="paragraph" w:styleId="TableContents" w:customStyle="1">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customStyle="1">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unhideWhenUsed/>
    <w:qFormat/>
    <w:rsid w:val="00e40f08"/>
    <w:pPr/>
    <w:rPr>
      <w:sz w:val="20"/>
      <w:szCs w:val="20"/>
    </w:rPr>
  </w:style>
  <w:style w:type="paragraph" w:styleId="Annotationsubject">
    <w:name w:val="annotation subject"/>
    <w:basedOn w:val="Annotationtext"/>
    <w:next w:val="Annotationtext"/>
    <w:link w:val="CommentSubjectChar"/>
    <w:uiPriority w:val="99"/>
    <w:semiHidden/>
    <w:unhideWhenUsed/>
    <w:qFormat/>
    <w:rsid w:val="00e40f08"/>
    <w:pPr/>
    <w:rPr>
      <w:b/>
      <w:bCs/>
    </w:rPr>
  </w:style>
  <w:style w:type="paragraph" w:styleId="Revision">
    <w:name w:val="Revision"/>
    <w:uiPriority w:val="99"/>
    <w:semiHidden/>
    <w:qFormat/>
    <w:rsid w:val="00e40f08"/>
    <w:pPr>
      <w:widowControl/>
      <w:suppressAutoHyphens w:val="false"/>
      <w:bidi w:val="0"/>
      <w:spacing w:before="0" w:after="0"/>
      <w:jc w:val="left"/>
    </w:pPr>
    <w:rPr>
      <w:rFonts w:ascii="Calibri" w:hAnsi="Calibri" w:eastAsia="Arial Unicode MS" w:cs="Arial Unicode MS"/>
      <w:color w:val="000000"/>
      <w:kern w:val="0"/>
      <w:sz w:val="22"/>
      <w:szCs w:val="22"/>
      <w:lang w:val="en-US" w:eastAsia="uk-UA"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mpersina@gmail.com" TargetMode="External"/><Relationship Id="rId3" Type="http://schemas.openxmlformats.org/officeDocument/2006/relationships/hyperlink" Target="https://orcid.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conpapers.repec.org/article/ecjeconjl/" TargetMode="External"/><Relationship Id="rId13" Type="http://schemas.openxmlformats.org/officeDocument/2006/relationships/hyperlink" Target="http://www.project-sindicate.org/" TargetMode="External"/><Relationship Id="rId14" Type="http://schemas.openxmlformats.org/officeDocument/2006/relationships/hyperlink" Target="https://mpra.ub.uni-muenchen.de/id/eprint/67256" TargetMode="External"/><Relationship Id="rId15" Type="http://schemas.openxmlformats.org/officeDocument/2006/relationships/hyperlink" Target="https://index.minfin.com.ua/economy/index/buildprice/" TargetMode="External"/><Relationship Id="rId16" Type="http://schemas.openxmlformats.org/officeDocument/2006/relationships/hyperlink" Target="https://doi.org/10.1006/redy.2001.0149" TargetMode="External"/><Relationship Id="rId17" Type="http://schemas.openxmlformats.org/officeDocument/2006/relationships/hyperlink" Target="https://econs.online/articles/opinions/kak-inflyatsionnoe-targetirovanie-vliyaet-na-rost/" TargetMode="External"/><Relationship Id="rId18" Type="http://schemas.openxmlformats.org/officeDocument/2006/relationships/hyperlink" Target="https://www.bbc.com/russian/news-55950090" TargetMode="External"/><Relationship Id="rId19" Type="http://schemas.openxmlformats.org/officeDocument/2006/relationships/hyperlink" Target="https://scikit-learn.org/" TargetMode="External"/><Relationship Id="rId20" Type="http://schemas.openxmlformats.org/officeDocument/2006/relationships/hyperlink" Target="https://github.com/Polinden/Invest2M2World" TargetMode="Externa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LibreOffice/7.3.0.3$MacOSX_X86_64 LibreOffice_project/0f246aa12d0eee4a0f7adcefbf7c878fc2238db3</Application>
  <AppVersion>15.0000</AppVersion>
  <Pages>13</Pages>
  <Words>4413</Words>
  <Characters>24977</Characters>
  <CharactersWithSpaces>29338</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2022-02-07T16:46:00Z</dcterms:created>
  <dc:creator>Olesia</dc:creator>
  <dc:description/>
  <dc:language>ru-RU</dc:language>
  <cp:lastModifiedBy/>
  <cp:lastPrinted>2022-02-06T08:10:00Z</cp:lastPrinted>
  <dcterms:modified xsi:type="dcterms:W3CDTF">2022-02-10T11:36:02Z</dcterms:modified>
  <cp:revision>25</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