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0"/>
        <w:jc w:val="right"/>
        <w:rPr>
          <w:lang w:val="en-US"/>
        </w:rPr>
      </w:pPr>
      <w:r>
        <w:rPr>
          <w:lang w:val="en-US"/>
        </w:rPr>
        <w:t>Lypnytsky Denys, PhD</w:t>
      </w:r>
    </w:p>
    <w:p>
      <w:pPr>
        <w:pStyle w:val="Normal"/>
        <w:jc w:val="right"/>
        <w:rPr>
          <w:rFonts w:ascii="Times New Roman" w:hAnsi="Times New Roman" w:cs="Times New Roman"/>
          <w:sz w:val="24"/>
          <w:szCs w:val="24"/>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rFonts w:ascii="Times New Roman" w:hAnsi="Times New Roman" w:cs="Times New Roman"/>
          <w:sz w:val="24"/>
          <w:szCs w:val="24"/>
          <w:lang w:val="en-US"/>
        </w:rPr>
      </w:pPr>
      <w:r>
        <w:rPr>
          <w:rFonts w:cs="Times New Roman" w:ascii="Times New Roman" w:hAnsi="Times New Roman"/>
          <w:sz w:val="24"/>
          <w:szCs w:val="24"/>
          <w:lang w:val="en-US"/>
        </w:rPr>
        <w:t>Е-mail: denis.lipnitsky@i-klass.com https://orcid.org/0000-0002-4616-7936</w:t>
      </w:r>
    </w:p>
    <w:p>
      <w:pPr>
        <w:pStyle w:val="Heading1"/>
        <w:ind w:hanging="0"/>
        <w:jc w:val="right"/>
        <w:rPr>
          <w:lang w:val="en-US"/>
        </w:rPr>
      </w:pPr>
      <w:r>
        <w:rPr>
          <w:lang w:val="en-US"/>
        </w:rPr>
        <w:t xml:space="preserve">Lypnytska Polina  </w:t>
      </w:r>
    </w:p>
    <w:p>
      <w:pPr>
        <w:pStyle w:val="Normal"/>
        <w:jc w:val="right"/>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w:t>
      </w: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artner, Up2Date Learn Online Courses </w:t>
      </w:r>
    </w:p>
    <w:p>
      <w:pPr>
        <w:pStyle w:val="Normal"/>
        <w:jc w:val="right"/>
        <w:rPr/>
      </w:pP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E-mail: </w:t>
      </w:r>
      <w:hyperlink r:id="rId2">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kumpersina@gmail.com</w:t>
        </w:r>
      </w:hyperlink>
      <w:r>
        <w:rPr>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 xml:space="preserve">, </w:t>
      </w:r>
      <w:hyperlink r:id="rId3">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https://orcid.org/</w:t>
        </w:r>
      </w:hyperlink>
      <w:r>
        <w:rPr>
          <w:rStyle w:val="StrongEmphasis"/>
          <w:rFonts w:eastAsia="Arial Unicode MS" w:cs="Times New Roman" w:ascii="Times New Roman" w:hAnsi="Times New Roman"/>
          <w:b w:val="false"/>
          <w:i w:val="false"/>
          <w:caps w:val="false"/>
          <w:smallCaps w:val="false"/>
          <w:color w:val="000000"/>
          <w:kern w:val="0"/>
          <w:sz w:val="24"/>
          <w:szCs w:val="24"/>
          <w:u w:val="none"/>
          <w:lang w:val="en-US" w:eastAsia="uk-UA" w:bidi="ar-SA"/>
        </w:rPr>
        <w:t>00</w:t>
      </w:r>
      <w:r>
        <w:rPr>
          <w:rStyle w:val="StrongEmphasis"/>
          <w:rFonts w:eastAsia="Arial Unicode MS" w:cs="Times New Roman" w:ascii="Times New Roman" w:hAnsi="Times New Roman"/>
          <w:b w:val="false"/>
          <w:i w:val="false"/>
          <w:caps w:val="false"/>
          <w:smallCaps w:val="false"/>
          <w:color w:val="000000"/>
          <w:kern w:val="0"/>
          <w:sz w:val="24"/>
          <w:szCs w:val="24"/>
          <w:lang w:val="en-US" w:eastAsia="uk-UA" w:bidi="ar-SA"/>
        </w:rPr>
        <w:t>00-0003-1722-1697</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ind w:hanging="0"/>
        <w:jc w:val="center"/>
        <w:rPr>
          <w:lang w:val="en-US"/>
        </w:rPr>
      </w:pPr>
      <w:r>
        <w:rPr>
          <w:lang w:val="en-US"/>
        </w:rPr>
        <w:t xml:space="preserve">MONEY SUPPLY IMPACT ON INVESTMENT AND GDP: </w:t>
      </w:r>
    </w:p>
    <w:p>
      <w:pPr>
        <w:pStyle w:val="Heading1"/>
        <w:ind w:hanging="0"/>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(unacceptable in the orthodox economic theory) via the constant expansion of the monetary base [1]. In such circumstances, the emerging economies met new problems, including a strong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In this regard, the subject of the study is to assess the relationship between monetary aggregates, investment, and GDP by the world economic data analysis using mathematical statistics. The goal is to identify the elements of this relationship and describe their differences for various economies at the current stage of world development.</w:t>
      </w:r>
    </w:p>
    <w:p>
      <w:pPr>
        <w:pStyle w:val="TextBody"/>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[3], and under certain conditions, a negative non-linear relationship between inflation and unemployment can be observed [4].</w:t>
      </w:r>
    </w:p>
    <w:p>
      <w:pPr>
        <w:pStyle w:val="TextBody"/>
        <w:spacing w:before="0" w:after="0"/>
        <w:jc w:val="both"/>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9">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2990" cy="2207895"/>
                    </a:xfrm>
                    <a:prstGeom prst="rect">
                      <a:avLst/>
                    </a:prstGeom>
                  </pic:spPr>
                </pic:pic>
              </a:graphicData>
            </a:graphic>
          </wp:anchor>
        </w:drawing>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t>Figure 1.  «Magical» quadrangle [5].</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suffered a decline. It resulted in a natural "sterilization" of their finances.</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left="0" w:right="0" w:firstLine="709"/>
        <w:jc w:val="both"/>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left="0" w:right="0" w:firstLine="709"/>
        <w:jc w:val="both"/>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ind w:hanging="0"/>
        <w:jc w:val="center"/>
        <w:rPr>
          <w:lang w:val="en-US"/>
        </w:rPr>
      </w:pPr>
      <w:r>
        <w:rPr>
          <w:lang w:val="en-US"/>
        </w:rPr>
        <w:t>Econometric analysis</w:t>
      </w:r>
    </w:p>
    <w:p>
      <w:pPr>
        <w:pStyle w:val="Heading1"/>
        <w:tabs>
          <w:tab w:val="left" w:pos="1736" w:leader="none"/>
          <w:tab w:val="left" w:pos="2019" w:leader="none"/>
          <w:tab w:val="left" w:pos="8869" w:leader="none"/>
        </w:tabs>
        <w:ind w:hanging="0"/>
        <w:jc w:val="left"/>
        <w:rPr>
          <w:b w:val="false"/>
          <w:b w:val="false"/>
          <w:bCs w:val="false"/>
          <w:i/>
          <w:i/>
          <w:iCs/>
          <w:lang w:val="en-US"/>
        </w:rPr>
      </w:pPr>
      <w:r>
        <w:rPr>
          <w:b w:val="false"/>
          <w:bCs w:val="false"/>
          <w:i/>
          <w:iCs/>
          <w:lang w:val="en-US"/>
        </w:rPr>
        <w:t xml:space="preserve">          </w:t>
      </w:r>
      <w:r>
        <w:rPr>
          <w:b w:val="false"/>
          <w:bCs w:val="false"/>
          <w:i/>
          <w:iCs/>
          <w:lang w:val="en-US"/>
        </w:rPr>
        <w:t>Problem formulation</w:t>
      </w:r>
    </w:p>
    <w:p>
      <w:pPr>
        <w:pStyle w:val="Normal"/>
        <w:jc w:val="both"/>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pPr>
      <w:r>
        <w:rPr>
          <w:rFonts w:cs="Times New Roman" w:ascii="Times New Roman" w:hAnsi="Times New Roman"/>
          <w:sz w:val="28"/>
          <w:szCs w:val="28"/>
          <w:lang w:val="en-US"/>
        </w:rPr>
        <w:tab/>
        <w:t>This somewhat simplified logic ignores the life cycle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The trend of the monetary aggregate M3 of Ukraine is shown in the chart below (Fig. 2) [14]. Fig. 3 also shows an increase in the inflation rates and prices for construction work, which illustrates the inflation of investment opportunities [15].</w:t>
      </w:r>
    </w:p>
    <w:p>
      <w:pPr>
        <w:pStyle w:val="Normal"/>
        <w:ind w:left="0" w:right="0" w:firstLine="709"/>
        <w:jc w:val="both"/>
        <w:rPr>
          <w:rFonts w:ascii="Times New Roman" w:hAnsi="Times New Roman" w:cs="Times New Roman"/>
          <w:sz w:val="20"/>
          <w:szCs w:val="20"/>
          <w:lang w:val="en-US"/>
        </w:rPr>
      </w:pPr>
      <w:r>
        <w:rPr>
          <w:rFonts w:cs="Times New Roman" w:ascii="Times New Roman" w:hAnsi="Times New Roman"/>
          <w:sz w:val="20"/>
          <w:szCs w:val="20"/>
          <w:lang w:val="en-US"/>
        </w:rPr>
        <w:drawing>
          <wp:anchor behindDoc="0" distT="0" distB="0" distL="0" distR="0" simplePos="0" locked="0" layoutInCell="0" allowOverlap="1" relativeHeight="4">
            <wp:simplePos x="0" y="0"/>
            <wp:positionH relativeFrom="column">
              <wp:posOffset>3010535</wp:posOffset>
            </wp:positionH>
            <wp:positionV relativeFrom="paragraph">
              <wp:posOffset>146050</wp:posOffset>
            </wp:positionV>
            <wp:extent cx="3090545" cy="239903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5"/>
                    <a:stretch>
                      <a:fillRect/>
                    </a:stretch>
                  </pic:blipFill>
                  <pic:spPr bwMode="auto">
                    <a:xfrm>
                      <a:off x="0" y="0"/>
                      <a:ext cx="3090545" cy="23990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-50800</wp:posOffset>
            </wp:positionH>
            <wp:positionV relativeFrom="paragraph">
              <wp:posOffset>140335</wp:posOffset>
            </wp:positionV>
            <wp:extent cx="3061970" cy="24155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6"/>
                    <a:srcRect l="-257" t="-337" r="-257" b="-337"/>
                    <a:stretch>
                      <a:fillRect/>
                    </a:stretch>
                  </pic:blipFill>
                  <pic:spPr bwMode="auto">
                    <a:xfrm>
                      <a:off x="0" y="0"/>
                      <a:ext cx="3061970" cy="2415540"/>
                    </a:xfrm>
                    <a:prstGeom prst="rect">
                      <a:avLst/>
                    </a:prstGeom>
                  </pic:spPr>
                </pic:pic>
              </a:graphicData>
            </a:graphic>
          </wp:anchor>
        </w:drawing>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Figure 2.  Broad money (M3) index,</w:t>
            </w:r>
            <w:r>
              <w:rPr>
                <w:rStyle w:val="Emphasis"/>
                <w:rFonts w:eastAsia="Arial Unicode MS" w:cs="Times New Roman" w:ascii="Times New Roman" w:hAnsi="Times New Roman"/>
                <w:i w:val="false"/>
                <w:color w:val="000000"/>
                <w:sz w:val="28"/>
                <w:szCs w:val="28"/>
                <w:lang w:eastAsia="uk-UA"/>
              </w:rPr>
              <w:t xml:space="preserve"> UAH (Ukraine)</w:t>
            </w:r>
          </w:p>
        </w:tc>
        <w:tc>
          <w:tcPr>
            <w:tcW w:w="4818" w:type="dxa"/>
            <w:tcBorders/>
          </w:tcPr>
          <w:p>
            <w:pPr>
              <w:pStyle w:val="FrameContents"/>
              <w:widowControl w:val="false"/>
              <w:spacing w:lineRule="auto" w:line="276"/>
              <w:rPr>
                <w:rFonts w:ascii="Times New Roman" w:hAnsi="Times New Roman" w:eastAsia="Arial Unicode MS" w:cs="Times New Roman"/>
                <w:color w:val="000000"/>
                <w:sz w:val="28"/>
                <w:szCs w:val="28"/>
                <w:lang w:eastAsia="uk-UA"/>
              </w:rPr>
            </w:pPr>
            <w:r>
              <w:rPr>
                <w:rFonts w:eastAsia="Arial Unicode MS" w:cs="Times New Roman" w:ascii="Times New Roman" w:hAnsi="Times New Roman"/>
                <w:color w:val="000000"/>
                <w:sz w:val="28"/>
                <w:szCs w:val="28"/>
                <w:lang w:eastAsia="uk-UA"/>
              </w:rPr>
              <w:t>Figure. 3. Inflation and construction works price base indexes  (Ukraine)</w:t>
            </w:r>
          </w:p>
        </w:tc>
      </w:tr>
    </w:tbl>
    <w:p>
      <w:pPr>
        <w:pStyle w:val="Normal"/>
        <w:ind w:left="0" w:right="0"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pPr>
      <w:r>
        <w:rPr>
          <w:rFonts w:cs="Times New Roman" w:ascii="Times New Roman" w:hAnsi="Times New Roman"/>
          <w:sz w:val="28"/>
          <w:szCs w:val="28"/>
          <w:lang w:val="en-US"/>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Km = М / GDP, </w:t>
        <w:tab/>
        <w:tab/>
        <w:tab/>
        <w:tab/>
        <w:tab/>
        <w:tab/>
        <w:t>(1)</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where: M –   monetary supply aggregate, M2 or M3 (broad money);</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right"/>
        <w:rPr>
          <w:rFonts w:ascii="Times New Roman" w:hAnsi="Times New Roman" w:cs="Times New Roman"/>
          <w:sz w:val="28"/>
          <w:szCs w:val="28"/>
          <w:lang w:val="en-US"/>
        </w:rPr>
      </w:pPr>
      <w:r>
        <w:rPr>
          <w:rFonts w:cs="Times New Roman" w:ascii="Times New Roman" w:hAnsi="Times New Roman"/>
          <w:sz w:val="28"/>
          <w:szCs w:val="28"/>
          <w:lang w:val="en-US"/>
        </w:rPr>
        <w:t>Table 2.</w:t>
      </w:r>
    </w:p>
    <w:p>
      <w:pPr>
        <w:pStyle w:val="Normal"/>
        <w:ind w:left="0" w:right="0" w:firstLine="709"/>
        <w:jc w:val="center"/>
        <w:rPr>
          <w:rFonts w:ascii="Times New Roman" w:hAnsi="Times New Roman" w:cs="Times New Roman"/>
          <w:sz w:val="28"/>
          <w:szCs w:val="28"/>
          <w:lang w:val="en-US"/>
        </w:rPr>
      </w:pPr>
      <w:r>
        <w:rPr>
          <w:rFonts w:cs="Times New Roman" w:ascii="Times New Roman" w:hAnsi="Times New Roman"/>
          <w:sz w:val="28"/>
          <w:szCs w:val="28"/>
          <w:lang w:val="en-US"/>
        </w:rPr>
        <w:t>Global monetization coefficients, 2020</w:t>
      </w:r>
    </w:p>
    <w:tbl>
      <w:tblPr>
        <w:tblW w:w="9636" w:type="dxa"/>
        <w:jc w:val="left"/>
        <w:tblInd w:w="0" w:type="dxa"/>
        <w:tblLayout w:type="fixed"/>
        <w:tblCellMar>
          <w:top w:w="55" w:type="dxa"/>
          <w:left w:w="55" w:type="dxa"/>
          <w:bottom w:w="55" w:type="dxa"/>
          <w:right w:w="55" w:type="dxa"/>
        </w:tblCellMar>
      </w:tblPr>
      <w:tblGrid>
        <w:gridCol w:w="1376"/>
        <w:gridCol w:w="1377"/>
        <w:gridCol w:w="1376"/>
        <w:gridCol w:w="1377"/>
        <w:gridCol w:w="1376"/>
        <w:gridCol w:w="1377"/>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44%</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left="0" w:right="0"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left="0" w:right="0"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left="0" w:right="0"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left="0" w:right="0"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left="0" w:right="0"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left="0" w:right="0" w:hanging="0"/>
        <w:rPr>
          <w:lang w:val="en-US"/>
        </w:rPr>
      </w:pPr>
      <w:r>
        <w:rPr>
          <w:lang w:val="en-US"/>
        </w:rPr>
        <w:t xml:space="preserve">Analysis of relationship between the real money supply and investment </w:t>
      </w:r>
    </w:p>
    <w:p>
      <w:pPr>
        <w:pStyle w:val="Normal"/>
        <w:jc w:val="both"/>
        <w:rPr/>
      </w:pPr>
      <w:r>
        <w:rPr>
          <w:rFonts w:cs="Times New Roman" w:ascii="Times New Roman" w:hAnsi="Times New Roman"/>
          <w:color w:val="0E101A"/>
          <w:sz w:val="28"/>
          <w:szCs w:val="28"/>
          <w:lang w:val="en-US"/>
        </w:rPr>
        <w:tab/>
        <w:t>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ab/>
        <w:t>The calculations were accomplished using the statistics and machine learning library Scikit-learn [24] in Python programming language. The code and its execution results are given as an interactive notebook and are available at the following GitHub link [25].</w:t>
      </w:r>
    </w:p>
    <w:p>
      <w:pPr>
        <w:pStyle w:val="Normal"/>
        <w:jc w:val="both"/>
        <w:rPr/>
      </w:pPr>
      <w:r>
        <w:rPr>
          <w:rFonts w:cs="Times New Roman" w:ascii="Times New Roman" w:hAnsi="Times New Roman"/>
          <w:color w:val="0E101A"/>
          <w:sz w:val="28"/>
          <w:szCs w:val="28"/>
          <w:lang w:val="en-US"/>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pPr>
        <w:pStyle w:val="Normal"/>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ab/>
        <w:t>The relationship between broad money and investment was measured by computing the Pearson correlation coefficients [26] for all countries from the World Bank report. Then the empirical threshold for the Pearson coefficient was set at 65%. This threshold helped to separate the countries with a proven relationship between broad money and investment activity. Table 3 below shows a fragment of the top-list, sorted by the correlation strength.</w:t>
      </w:r>
    </w:p>
    <w:p>
      <w:pPr>
        <w:pStyle w:val="Normal"/>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the "core", that is, a group with the highest degree of correlation.</w:t>
      </w:r>
    </w:p>
    <w:p>
      <w:pPr>
        <w:pStyle w:val="Normal"/>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tab/>
        <w:t xml:space="preserve">And if the observation of time series for individual countries itself only displays a probable similarity in M3 and gross investment tendencies (Fig. 5),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br/>
        <w:t xml:space="preserve">                                                    Table 3.</w:t>
        <w:tab/>
        <w:tab/>
        <w:tab/>
        <w:tab/>
        <w:tab/>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between </w:t>
      </w:r>
    </w:p>
    <w:p>
      <w:pPr>
        <w:pStyle w:val="Normal"/>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drawing>
          <wp:anchor behindDoc="0" distT="0" distB="0" distL="0" distR="0" simplePos="0" locked="0" layoutInCell="1" allowOverlap="1" relativeHeight="8">
            <wp:simplePos x="0" y="0"/>
            <wp:positionH relativeFrom="column">
              <wp:posOffset>2922270</wp:posOffset>
            </wp:positionH>
            <wp:positionV relativeFrom="paragraph">
              <wp:posOffset>202565</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7"/>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sz w:val="28"/>
          <w:szCs w:val="28"/>
          <w:lang w:val="en-US"/>
        </w:rPr>
        <w:t>М3 and gross capital formation (2020)</w:t>
      </w:r>
    </w:p>
    <w:tbl>
      <w:tblPr>
        <w:tblW w:w="4395" w:type="dxa"/>
        <w:jc w:val="left"/>
        <w:tblInd w:w="-5" w:type="dxa"/>
        <w:tblLayout w:type="fixed"/>
        <w:tblCellMar>
          <w:top w:w="55" w:type="dxa"/>
          <w:left w:w="55" w:type="dxa"/>
          <w:bottom w:w="55" w:type="dxa"/>
          <w:right w:w="55" w:type="dxa"/>
        </w:tblCellMar>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mc:AlternateContent>
                <mc:Choice Requires="wps">
                  <w:drawing>
                    <wp:anchor behindDoc="0" distT="0" distB="0" distL="0" distR="0" simplePos="0" locked="0" layoutInCell="0" allowOverlap="1" relativeHeight="5">
                      <wp:simplePos x="0" y="0"/>
                      <wp:positionH relativeFrom="column">
                        <wp:posOffset>2911475</wp:posOffset>
                      </wp:positionH>
                      <wp:positionV relativeFrom="paragraph">
                        <wp:posOffset>2288540</wp:posOffset>
                      </wp:positionV>
                      <wp:extent cx="2831465" cy="715010"/>
                      <wp:effectExtent l="0" t="0" r="0" b="0"/>
                      <wp:wrapNone/>
                      <wp:docPr id="5" name="Text Frame 1"/>
                      <a:graphic xmlns:a="http://schemas.openxmlformats.org/drawingml/2006/main">
                        <a:graphicData uri="http://schemas.microsoft.com/office/word/2010/wordprocessingShape">
                          <wps:wsp>
                            <wps:cNvSpPr/>
                            <wps:spPr>
                              <a:xfrm>
                                <a:off x="0" y="0"/>
                                <a:ext cx="2831400" cy="714960"/>
                              </a:xfrm>
                              <a:prstGeom prst="rect">
                                <a:avLst/>
                              </a:prstGeom>
                              <a:noFill/>
                              <a:ln w="0">
                                <a:noFill/>
                              </a:ln>
                            </wps:spPr>
                            <wps:style>
                              <a:lnRef idx="0"/>
                              <a:fillRef idx="0"/>
                              <a:effectRef idx="0"/>
                              <a:fontRef idx="minor"/>
                            </wps:style>
                            <wps:txbx>
                              <w:txbxContent>
                                <w:p>
                                  <w:pPr>
                                    <w:pStyle w:val="FrameContents"/>
                                    <w:widowControl w:val="false"/>
                                    <w:spacing w:lineRule="auto" w:line="276"/>
                                    <w:rPr/>
                                  </w:pPr>
                                  <w:r>
                                    <w:rPr>
                                      <w:rFonts w:eastAsia="Arial Unicode MS" w:cs="Times New Roman" w:ascii="Times New Roman" w:hAnsi="Times New Roman"/>
                                      <w:color w:val="000000"/>
                                      <w:kern w:val="0"/>
                                      <w:sz w:val="28"/>
                                      <w:szCs w:val="28"/>
                                      <w:lang w:eastAsia="uk-UA" w:bidi="ar-SA"/>
                                    </w:rPr>
                                    <w:t xml:space="preserve">Figure 4. </w:t>
                                  </w:r>
                                  <w:bookmarkStart w:id="0" w:name="tw-target-text"/>
                                  <w:bookmarkEnd w:id="0"/>
                                  <w:r>
                                    <w:rPr>
                                      <w:rFonts w:eastAsia="Arial Unicode MS" w:cs="Times New Roman" w:ascii="Times New Roman" w:hAnsi="Times New Roman"/>
                                      <w:color w:val="000000"/>
                                      <w:kern w:val="0"/>
                                      <w:sz w:val="28"/>
                                      <w:szCs w:val="28"/>
                                      <w:lang w:eastAsia="uk-UA" w:bidi="ar-SA"/>
                                    </w:rPr>
                                    <w:t>Histogram of correlation  between broad money and gross capital formation</w:t>
                                  </w:r>
                                </w:p>
                                <w:p>
                                  <w:pPr>
                                    <w:pStyle w:val="FrameContents"/>
                                    <w:widowControl w:val="false"/>
                                    <w:spacing w:lineRule="auto" w:line="276"/>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29.25pt;margin-top:180.2pt;width:222.9pt;height:56.25pt;mso-wrap-style:square;v-text-anchor:top">
                      <v:fill o:detectmouseclick="t" on="false"/>
                      <v:stroke color="#3465a4" joinstyle="round" endcap="flat"/>
                      <v:textbox>
                        <w:txbxContent>
                          <w:p>
                            <w:pPr>
                              <w:pStyle w:val="FrameContents"/>
                              <w:widowControl w:val="false"/>
                              <w:spacing w:lineRule="auto" w:line="276"/>
                              <w:rPr/>
                            </w:pPr>
                            <w:r>
                              <w:rPr>
                                <w:rFonts w:eastAsia="Arial Unicode MS" w:cs="Times New Roman" w:ascii="Times New Roman" w:hAnsi="Times New Roman"/>
                                <w:color w:val="000000"/>
                                <w:kern w:val="0"/>
                                <w:sz w:val="28"/>
                                <w:szCs w:val="28"/>
                                <w:lang w:eastAsia="uk-UA" w:bidi="ar-SA"/>
                              </w:rPr>
                              <w:t xml:space="preserve">Figure 4. </w:t>
                            </w:r>
                            <w:bookmarkStart w:id="1" w:name="tw-target-text"/>
                            <w:bookmarkEnd w:id="1"/>
                            <w:r>
                              <w:rPr>
                                <w:rFonts w:eastAsia="Arial Unicode MS" w:cs="Times New Roman" w:ascii="Times New Roman" w:hAnsi="Times New Roman"/>
                                <w:color w:val="000000"/>
                                <w:kern w:val="0"/>
                                <w:sz w:val="28"/>
                                <w:szCs w:val="28"/>
                                <w:lang w:eastAsia="uk-UA" w:bidi="ar-SA"/>
                              </w:rPr>
                              <w:t>Histogram of correlation  between broad money and gross capital formation</w:t>
                            </w:r>
                          </w:p>
                          <w:p>
                            <w:pPr>
                              <w:pStyle w:val="FrameContents"/>
                              <w:widowControl w:val="false"/>
                              <w:spacing w:lineRule="auto" w:line="276"/>
                              <w:rPr/>
                            </w:pPr>
                            <w:r>
                              <w:rPr/>
                            </w:r>
                          </w:p>
                        </w:txbxContent>
                      </v:textbox>
                      <w10:wrap type="none"/>
                    </v:rect>
                  </w:pict>
                </mc:Fallback>
              </mc:AlternateContent>
            </w: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2"/>
            <w:bookmarkEnd w:id="2"/>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3"/>
            <w:bookmarkEnd w:id="3"/>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4"/>
            <w:bookmarkEnd w:id="4"/>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5"/>
            <w:bookmarkEnd w:id="5"/>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6"/>
            <w:bookmarkEnd w:id="6"/>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17"/>
            <w:bookmarkEnd w:id="7"/>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5 258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19"/>
            <w:bookmarkEnd w:id="8"/>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9" w:name="tw-target-text20"/>
            <w:bookmarkEnd w:id="9"/>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0" w:name="tw-target-text21"/>
            <w:bookmarkEnd w:id="10"/>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eastAsia="Songti SC" w:cs="Times New Roman"/>
                <w:color w:val="auto"/>
                <w:kern w:val="2"/>
                <w:sz w:val="24"/>
                <w:szCs w:val="24"/>
                <w:lang w:val="en-US" w:eastAsia="zh-CN" w:bidi="hi-IN"/>
              </w:rPr>
            </w:pPr>
            <w:r>
              <w:rPr>
                <w:rFonts w:eastAsia="Songti SC" w:cs="Times New Roman" w:ascii="Times New Roman" w:hAnsi="Times New Roman"/>
                <w:color w:val="auto"/>
                <w:kern w:val="2"/>
                <w:sz w:val="24"/>
                <w:szCs w:val="24"/>
                <w:lang w:val="en-US" w:eastAsia="zh-CN" w:bidi="hi-IN"/>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eastAsia="Songti SC" w:cs="Times New Roman"/>
                <w:color w:val="auto"/>
                <w:kern w:val="2"/>
                <w:sz w:val="24"/>
                <w:szCs w:val="24"/>
                <w:lang w:val="en-US" w:eastAsia="zh-CN" w:bidi="hi-IN"/>
              </w:rPr>
            </w:pPr>
            <w:r>
              <w:rPr>
                <w:rFonts w:eastAsia="Songti SC" w:cs="Times New Roman" w:ascii="Times New Roman" w:hAnsi="Times New Roman"/>
                <w:color w:val="auto"/>
                <w:kern w:val="2"/>
                <w:sz w:val="24"/>
                <w:szCs w:val="24"/>
                <w:lang w:val="en-US" w:eastAsia="zh-CN" w:bidi="hi-IN"/>
              </w:rPr>
              <w:t>41 627</w:t>
            </w:r>
          </w:p>
        </w:tc>
      </w:tr>
    </w:tbl>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lang w:val="en-US"/>
        </w:rPr>
      </w:r>
    </w:p>
    <w:p>
      <w:pPr>
        <w:pStyle w:val="Normal"/>
        <w:jc w:val="both"/>
        <w:rPr>
          <w:lang w:val="en-US"/>
        </w:rPr>
      </w:pPr>
      <w:r>
        <w:rPr>
          <w:lang w:val="en-US"/>
        </w:rPr>
        <w:drawing>
          <wp:anchor behindDoc="0" distT="0" distB="0" distL="0" distR="0" simplePos="0" locked="0" layoutInCell="0" allowOverlap="1" relativeHeight="10">
            <wp:simplePos x="0" y="0"/>
            <wp:positionH relativeFrom="column">
              <wp:posOffset>-121920</wp:posOffset>
            </wp:positionH>
            <wp:positionV relativeFrom="paragraph">
              <wp:posOffset>85090</wp:posOffset>
            </wp:positionV>
            <wp:extent cx="3096260" cy="24517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3923" t="0" r="0" b="6383"/>
                    <a:stretch>
                      <a:fillRect/>
                    </a:stretch>
                  </pic:blipFill>
                  <pic:spPr bwMode="auto">
                    <a:xfrm>
                      <a:off x="0" y="0"/>
                      <a:ext cx="3096260" cy="245173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2973705</wp:posOffset>
            </wp:positionH>
            <wp:positionV relativeFrom="paragraph">
              <wp:posOffset>85090</wp:posOffset>
            </wp:positionV>
            <wp:extent cx="3190875" cy="25558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0" t="0" r="0" b="2354"/>
                    <a:stretch>
                      <a:fillRect/>
                    </a:stretch>
                  </pic:blipFill>
                  <pic:spPr bwMode="auto">
                    <a:xfrm>
                      <a:off x="0" y="0"/>
                      <a:ext cx="3190875" cy="2555875"/>
                    </a:xfrm>
                    <a:prstGeom prst="rect">
                      <a:avLst/>
                    </a:prstGeom>
                  </pic:spPr>
                </pic:pic>
              </a:graphicData>
            </a:graphic>
          </wp:anchor>
        </w:drawing>
      </w:r>
    </w:p>
    <w:p>
      <w:pPr>
        <w:pStyle w:val="Normal"/>
        <w:jc w:val="both"/>
        <w:rPr>
          <w:lang w:val="en-US"/>
        </w:rPr>
      </w:pPr>
      <w:r>
        <w:rPr>
          <w:lang w:val="en-US"/>
        </w:rPr>
      </w:r>
    </w:p>
    <w:tbl>
      <w:tblPr>
        <w:tblW w:w="9633" w:type="dxa"/>
        <w:jc w:val="left"/>
        <w:tblInd w:w="0" w:type="dxa"/>
        <w:tblLayout w:type="fixed"/>
        <w:tblCellMar>
          <w:top w:w="55" w:type="dxa"/>
          <w:left w:w="55" w:type="dxa"/>
          <w:bottom w:w="55" w:type="dxa"/>
          <w:right w:w="55" w:type="dxa"/>
        </w:tblCellMar>
      </w:tblPr>
      <w:tblGrid>
        <w:gridCol w:w="4415"/>
        <w:gridCol w:w="5217"/>
      </w:tblGrid>
      <w:tr>
        <w:trPr/>
        <w:tc>
          <w:tcPr>
            <w:tcW w:w="4415" w:type="dxa"/>
            <w:tcBorders/>
          </w:tcPr>
          <w:p>
            <w:pPr>
              <w:pStyle w:val="Normal"/>
              <w:widowControl w:val="false"/>
              <w:spacing w:lineRule="atLeast" w:line="0" w:before="0" w:after="0"/>
              <w:jc w:val="left"/>
              <w:rPr>
                <w:rFonts w:ascii="Times New Roman" w:hAnsi="Times New Roman" w:cs="Times New Roman"/>
                <w:b w:val="false"/>
                <w:b w:val="false"/>
                <w:i w:val="false"/>
                <w:i w:val="false"/>
                <w:strike w:val="false"/>
                <w:dstrike w:val="false"/>
                <w:color w:val="000000"/>
                <w:spacing w:val="0"/>
                <w:sz w:val="28"/>
                <w:szCs w:val="28"/>
                <w:u w:val="none"/>
                <w:lang w:val="en-US"/>
              </w:rPr>
            </w:pPr>
            <w:r>
              <w:rPr>
                <w:rFonts w:cs="Times New Roman" w:ascii="Times New Roman" w:hAnsi="Times New Roman"/>
                <w:b w:val="false"/>
                <w:i w:val="false"/>
                <w:strike w:val="false"/>
                <w:dstrike w:val="false"/>
                <w:color w:val="000000"/>
                <w:spacing w:val="0"/>
                <w:sz w:val="28"/>
                <w:szCs w:val="28"/>
                <w:u w:val="none"/>
                <w:lang w:val="en-US"/>
              </w:rPr>
              <w:t>Figure 5.  Broad money and gross capital formation (Turkey)</w:t>
            </w:r>
          </w:p>
        </w:tc>
        <w:tc>
          <w:tcPr>
            <w:tcW w:w="5217"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Figure 6. R</w:t>
            </w:r>
            <w:r>
              <w:rPr>
                <w:rFonts w:eastAsia="Arial Unicode MS" w:cs="Times New Roman" w:ascii="Times New Roman" w:hAnsi="Times New Roman"/>
                <w:b w:val="false"/>
                <w:i w:val="false"/>
                <w:strike w:val="false"/>
                <w:dstrike w:val="false"/>
                <w:color w:val="000000"/>
                <w:spacing w:val="0"/>
                <w:sz w:val="28"/>
                <w:szCs w:val="28"/>
                <w:u w:val="none"/>
                <w:lang w:eastAsia="uk-UA"/>
              </w:rPr>
              <w:t>egression analysis (Turkey)</w:t>
            </w:r>
          </w:p>
        </w:tc>
      </w:tr>
    </w:tbl>
    <w:p>
      <w:pPr>
        <w:pStyle w:val="Heading2"/>
        <w:ind w:left="0" w:right="0" w:hanging="0"/>
        <w:rPr>
          <w:lang w:val="en-US"/>
        </w:rPr>
      </w:pPr>
      <w:r>
        <w:rPr>
          <w:lang w:val="en-US"/>
        </w:rPr>
        <w:br/>
        <w:t>Further analysis and discussion</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broad money and gross capital formation (2). The outcomes of the classification are shown in Fig. 6.</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pPr>
      <w:r>
        <w:rPr/>
        <w:drawing>
          <wp:inline distT="0" distB="0" distL="0" distR="0">
            <wp:extent cx="4344035" cy="32378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4035" cy="3237865"/>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t>Figure 6. “Nearest neighbors” classification</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pPr>
      <w:r>
        <w:rPr>
          <w:rFonts w:cs="Times New Roman" w:ascii="Times New Roman" w:hAnsi="Times New Roman"/>
          <w:sz w:val="28"/>
          <w:szCs w:val="28"/>
          <w:lang w:val="en-US"/>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pPr>
      <w:r>
        <w:rPr/>
        <w:drawing>
          <wp:inline distT="0" distB="0" distL="0" distR="0">
            <wp:extent cx="4236085" cy="32740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236085" cy="327406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t>Figure 7. “Mean shift” clustering</w:t>
      </w:r>
    </w:p>
    <w:p>
      <w:pPr>
        <w:pStyle w:val="Normal"/>
        <w:ind w:left="0" w:right="0"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broad money and investment. For such countries, the increase of monetization is strongly linked with GDP growth.</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Rich countries in the upper right quadrant of the figure (consisting of two relatively small clusters) have shown, as expected, the strong positive relationship between the broad money supply and investment growth.</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However, there is also a small group of countries where the relationship between M3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Conclusions</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left="0" w:right="0"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lang w:val="en-US"/>
        </w:rPr>
      </w:r>
      <w:r>
        <w:br w:type="page"/>
      </w:r>
    </w:p>
    <w:p>
      <w:pPr>
        <w:pStyle w:val="Heading1"/>
        <w:ind w:hanging="0"/>
        <w:rPr>
          <w:lang w:val="en-US"/>
        </w:rPr>
      </w:pPr>
      <w:r>
        <w:rPr>
          <w:lang w:val="en-US"/>
        </w:rPr>
        <w:t>References</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1" w:name="_Ref95048337"/>
      <w:r>
        <w:rPr>
          <w:rFonts w:cs="Times New Roman" w:ascii="Times New Roman" w:hAnsi="Times New Roman"/>
          <w:sz w:val="28"/>
          <w:szCs w:val="28"/>
          <w:shd w:fill="FFFFFF" w:val="clear"/>
        </w:rPr>
        <w:t>Dam</w:t>
      </w:r>
      <w:r>
        <w:rPr>
          <w:rFonts w:cs="Times New Roman" w:ascii="Times New Roman" w:hAnsi="Times New Roman"/>
          <w:i w:val="false"/>
          <w:iCs w:val="false"/>
          <w:sz w:val="28"/>
          <w:szCs w:val="28"/>
          <w:shd w:fill="FFFFFF" w:val="clear"/>
        </w:rPr>
        <w:t xml:space="preserve">iano, Sandri, Itai Agur, Damien Capelle, Giovanni Dell'Ariccia (2022). Monetary Finance: Do Not Touch, or Handle with Care? International Monetary Fund. Retrieved from </w:t>
      </w:r>
      <w:r>
        <w:rPr>
          <w:rFonts w:cs="Times New Roman" w:ascii="Times New Roman" w:hAnsi="Times New Roman"/>
          <w:i/>
          <w:iCs/>
          <w:sz w:val="28"/>
          <w:szCs w:val="28"/>
          <w:shd w:fill="FFFFFF" w:val="clear"/>
        </w:rPr>
        <w:t>https://www.imf.org/en/Publications/Departmental-Papers-Policy-Papers/Issues/2022/01/11/Monetary-Finance-Do-Not-Touch-or-Handle-with-Care-464862</w:t>
      </w:r>
      <w:bookmarkEnd w:id="11"/>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2" w:name="_Ref95048344"/>
      <w:r>
        <w:rPr>
          <w:rFonts w:cs="Times New Roman" w:ascii="Times New Roman" w:hAnsi="Times New Roman"/>
          <w:sz w:val="28"/>
          <w:szCs w:val="28"/>
          <w:shd w:fill="FFFFFF" w:val="clear"/>
        </w:rPr>
        <w:t xml:space="preserve">Vishnevsky, V. (2022). Digital technologies and problems of industrial development. Economics of Ukraine. № 1. P. 47—66. DOI: </w:t>
      </w:r>
      <w:r>
        <w:rPr>
          <w:rFonts w:cs="Times New Roman" w:ascii="Times New Roman" w:hAnsi="Times New Roman"/>
          <w:i/>
          <w:iCs/>
          <w:sz w:val="28"/>
          <w:szCs w:val="28"/>
          <w:shd w:fill="FFFFFF" w:val="clear"/>
        </w:rPr>
        <w:t>https://doi.org/10.15407/economyukr.2022.01.047</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с</w:t>
      </w:r>
      <w:r>
        <w:rPr>
          <w:rFonts w:cs="Times New Roman" w:ascii="Times New Roman" w:hAnsi="Times New Roman"/>
          <w:sz w:val="28"/>
          <w:szCs w:val="28"/>
          <w:shd w:fill="FFFFFF" w:val="clear"/>
        </w:rPr>
        <w:t>. 63.</w:t>
      </w:r>
      <w:bookmarkEnd w:id="12"/>
      <w:r>
        <w:rPr>
          <w:rFonts w:cs="Times New Roman" w:ascii="Times New Roman" w:hAnsi="Times New Roman"/>
          <w:sz w:val="28"/>
          <w:szCs w:val="28"/>
          <w:shd w:fill="FFFFFF" w:val="clear"/>
        </w:rPr>
        <w:t xml:space="preserve"> [in Ukrainian].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3" w:name="_Ref94941877"/>
      <w:r>
        <w:rPr>
          <w:rFonts w:cs="Times New Roman" w:ascii="Times New Roman" w:hAnsi="Times New Roman"/>
          <w:sz w:val="28"/>
          <w:szCs w:val="28"/>
          <w:shd w:fill="FFFFFF" w:val="clear"/>
        </w:rPr>
        <w:t xml:space="preserve">Adam, K., Weber, H. (2019). Optimal Trend Inflation. American Economic Review. 2019. Vol. 109.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2. P. 702–737.</w:t>
      </w:r>
      <w:bookmarkEnd w:id="13"/>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4" w:name="_Ref94941887"/>
      <w:r>
        <w:rPr>
          <w:rFonts w:cs="Times New Roman" w:ascii="Times New Roman" w:hAnsi="Times New Roman"/>
          <w:sz w:val="28"/>
          <w:szCs w:val="28"/>
          <w:shd w:fill="FFFFFF" w:val="clear"/>
        </w:rPr>
        <w:t>Phillips, A.W. (1958). The Relation Between Unemployment and the Rate of Change of Money Wage Rates in the United Kingdom, 1861-1957. Economica. P. 283-299.</w:t>
      </w:r>
      <w:bookmarkEnd w:id="14"/>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5" w:name="_Ref94941914"/>
      <w:r>
        <w:rPr>
          <w:rFonts w:cs="Times New Roman" w:ascii="Times New Roman" w:hAnsi="Times New Roman"/>
          <w:sz w:val="28"/>
          <w:szCs w:val="28"/>
          <w:shd w:fill="FFFFFF" w:val="clear"/>
        </w:rPr>
        <w:t xml:space="preserve">Kaldor, N. (1971). Conflicts in National Economic Objectives. </w:t>
      </w:r>
      <w:hyperlink r:id="rId12">
        <w:r>
          <w:rPr>
            <w:rStyle w:val="InternetLink"/>
            <w:rFonts w:eastAsia="Songti SC" w:cs="Times New Roman" w:ascii="Times New Roman" w:hAnsi="Times New Roman"/>
            <w:color w:val="000000"/>
            <w:kern w:val="2"/>
            <w:sz w:val="28"/>
            <w:szCs w:val="28"/>
            <w:u w:val="none"/>
            <w:shd w:fill="FFFFFF" w:val="clear"/>
            <w:lang w:eastAsia="zh-CN" w:bidi="hi-IN"/>
          </w:rPr>
          <w:t>Economic Journal</w:t>
        </w:r>
      </w:hyperlink>
      <w:r>
        <w:rPr>
          <w:rFonts w:cs="Times New Roman" w:ascii="Times New Roman" w:hAnsi="Times New Roman"/>
          <w:sz w:val="28"/>
          <w:szCs w:val="28"/>
          <w:shd w:fill="FFFFFF" w:val="clear"/>
        </w:rPr>
        <w:t>. vol. 81, issue 321, pp. 1-16.</w:t>
      </w:r>
      <w:bookmarkEnd w:id="15"/>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6" w:name="_Ref94941979"/>
      <w:r>
        <w:rPr>
          <w:rFonts w:cs="Times New Roman" w:ascii="Times New Roman" w:hAnsi="Times New Roman"/>
          <w:sz w:val="28"/>
          <w:szCs w:val="28"/>
          <w:shd w:fill="FFFFFF" w:val="clear"/>
        </w:rPr>
        <w:t xml:space="preserve">Inflation in the US accelerated to a record since 1982. (2021).  Economic truth. [in Russian]. </w:t>
      </w:r>
      <w:bookmarkEnd w:id="16"/>
    </w:p>
    <w:p>
      <w:pPr>
        <w:pStyle w:val="PreformattedText"/>
        <w:numPr>
          <w:ilvl w:val="0"/>
          <w:numId w:val="1"/>
        </w:numPr>
        <w:tabs>
          <w:tab w:val="clear" w:pos="708"/>
          <w:tab w:val="left" w:pos="426" w:leader="none"/>
        </w:tabs>
        <w:suppressAutoHyphens w:val="true"/>
        <w:spacing w:lineRule="auto" w:line="240" w:before="0" w:after="60"/>
        <w:ind w:left="851" w:right="0" w:hanging="851"/>
        <w:jc w:val="left"/>
        <w:rPr/>
      </w:pPr>
      <w:bookmarkStart w:id="17" w:name="tw-target-text1"/>
      <w:bookmarkEnd w:id="17"/>
      <w:r>
        <w:rPr>
          <w:rFonts w:eastAsia="Arial Unicode MS" w:cs="Times New Roman" w:ascii="Times New Roman" w:hAnsi="Times New Roman"/>
          <w:b w:val="false"/>
          <w:i w:val="false"/>
          <w:caps w:val="false"/>
          <w:smallCaps w:val="false"/>
          <w:color w:val="000000"/>
          <w:spacing w:val="0"/>
          <w:sz w:val="28"/>
          <w:szCs w:val="28"/>
          <w:u w:val="none"/>
          <w:shd w:fill="FFFFFF" w:val="clear"/>
          <w:lang w:val="en-US" w:eastAsia="uk-UA"/>
        </w:rPr>
        <w:t>Zaiko N. (2015). Quantitative Easing in the United States: Implications for Developing Countries. Regional problems of economic transformation, (6 (56)), 96-100.</w:t>
      </w:r>
      <w:bookmarkStart w:id="18" w:name="_Ref94944387"/>
      <w:r>
        <w:rPr>
          <w:rFonts w:cs="Times New Roman" w:ascii="Times New Roman" w:hAnsi="Times New Roman"/>
          <w:sz w:val="28"/>
          <w:szCs w:val="28"/>
          <w:shd w:fill="FFFFFF" w:val="clear"/>
        </w:rPr>
        <w:t xml:space="preserve"> [in Russian].</w:t>
      </w:r>
    </w:p>
    <w:p>
      <w:pPr>
        <w:pStyle w:val="PreformattedText"/>
        <w:numPr>
          <w:ilvl w:val="0"/>
          <w:numId w:val="1"/>
        </w:numPr>
        <w:tabs>
          <w:tab w:val="clear" w:pos="708"/>
          <w:tab w:val="left" w:pos="426" w:leader="none"/>
        </w:tabs>
        <w:suppressAutoHyphens w:val="true"/>
        <w:spacing w:lineRule="auto" w:line="240" w:before="0" w:after="60"/>
        <w:ind w:left="851" w:right="0" w:hanging="851"/>
        <w:jc w:val="left"/>
        <w:rPr/>
      </w:pPr>
      <w:r>
        <w:rPr>
          <w:rFonts w:cs="Times New Roman" w:ascii="Times New Roman" w:hAnsi="Times New Roman"/>
          <w:sz w:val="28"/>
          <w:szCs w:val="28"/>
          <w:shd w:fill="FFFFFF" w:val="clear"/>
        </w:rPr>
        <w:t>Krugman, P. (2010). Why Is Deflation Bad. The New York Times.</w:t>
      </w:r>
      <w:bookmarkEnd w:id="18"/>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19" w:name="_Ref94944410"/>
      <w:bookmarkEnd w:id="19"/>
      <w:r>
        <w:rPr>
          <w:rFonts w:cs="Times New Roman" w:ascii="Times New Roman" w:hAnsi="Times New Roman"/>
          <w:sz w:val="28"/>
          <w:szCs w:val="28"/>
          <w:shd w:fill="FFFFFF" w:val="clear"/>
        </w:rPr>
        <w:t xml:space="preserve">Stiglitz, J. (2008). Inflation Targeting: A Test of Reality. News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88.</w:t>
      </w:r>
      <w:r>
        <w:rPr>
          <w:rFonts w:cs="Times New Roman" w:ascii="Times New Roman" w:hAnsi="Times New Roman"/>
          <w:sz w:val="28"/>
          <w:szCs w:val="28"/>
          <w:shd w:fill="FFFFFF" w:val="clear"/>
          <w:lang w:val="ru-RU"/>
        </w:rPr>
        <w:t xml:space="preserve"> </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0" w:name="_Ref94944420"/>
      <w:bookmarkStart w:id="21" w:name="_Ref949444101"/>
      <w:bookmarkEnd w:id="20"/>
      <w:bookmarkEnd w:id="21"/>
      <w:r>
        <w:rPr>
          <w:rFonts w:cs="Times New Roman" w:ascii="Times New Roman" w:hAnsi="Times New Roman"/>
          <w:sz w:val="28"/>
          <w:szCs w:val="28"/>
          <w:shd w:fill="FFFFFF" w:val="clear"/>
        </w:rPr>
        <w:t>Perevyshina, E.A. (2017). Influence of inflation on the pace of economic growth. Finance and cre</w:t>
      </w:r>
      <w:r>
        <w:rPr>
          <w:rFonts w:cs="Times New Roman" w:ascii="Times New Roman" w:hAnsi="Times New Roman"/>
          <w:sz w:val="28"/>
          <w:szCs w:val="28"/>
          <w:u w:val="none"/>
          <w:shd w:fill="FFFFFF" w:val="clear"/>
        </w:rPr>
        <w:t>dit. №9. [in Russian].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2" w:name="_Ref949444201"/>
      <w:bookmarkEnd w:id="22"/>
      <w:r>
        <w:rPr>
          <w:rFonts w:cs="Times New Roman" w:ascii="Times New Roman" w:hAnsi="Times New Roman"/>
          <w:sz w:val="28"/>
          <w:szCs w:val="28"/>
          <w:u w:val="none"/>
          <w:shd w:fill="FFFFFF" w:val="clear"/>
        </w:rPr>
        <w:t>Kartaev, F</w:t>
      </w:r>
      <w:r>
        <w:rPr>
          <w:rFonts w:eastAsia="Arial Unicode MS" w:cs="Times New Roman" w:ascii="Times New Roman" w:hAnsi="Times New Roman"/>
          <w:color w:val="000000"/>
          <w:sz w:val="28"/>
          <w:szCs w:val="28"/>
          <w:u w:val="none"/>
          <w:shd w:fill="FFFFFF" w:val="clear"/>
          <w:lang w:val="en-US" w:eastAsia="uk-UA"/>
        </w:rPr>
        <w:t xml:space="preserve">. (2017). Is inflation targeting good for economic growth? </w:t>
      </w:r>
      <w:r>
        <w:rPr>
          <w:rStyle w:val="Emphasis"/>
          <w:rFonts w:eastAsia="Arial Unicode MS" w:cs="Times New Roman" w:ascii="Times New Roman" w:hAnsi="Times New Roman"/>
          <w:b w:val="false"/>
          <w:i w:val="false"/>
          <w:iCs w:val="false"/>
          <w:color w:val="000000"/>
          <w:spacing w:val="0"/>
          <w:sz w:val="28"/>
          <w:szCs w:val="28"/>
          <w:u w:val="none"/>
          <w:shd w:fill="FFFFFF" w:val="clear"/>
          <w:lang w:val="en-US" w:eastAsia="uk-UA"/>
        </w:rPr>
        <w:t>Voprosy Ekonomiki</w:t>
      </w:r>
      <w:r>
        <w:rPr>
          <w:rFonts w:eastAsia="Arial Unicode MS" w:cs="Times New Roman" w:ascii="Times New Roman" w:hAnsi="Times New Roman"/>
          <w:color w:val="000000"/>
          <w:sz w:val="28"/>
          <w:szCs w:val="28"/>
          <w:u w:val="none"/>
          <w:shd w:fill="FFFFFF" w:val="clear"/>
          <w:lang w:val="en-US" w:eastAsia="uk-UA"/>
        </w:rPr>
        <w:t xml:space="preserve">. №2. </w:t>
      </w:r>
      <w:r>
        <w:rPr>
          <w:rFonts w:cs="Times New Roman" w:ascii="Times New Roman" w:hAnsi="Times New Roman"/>
          <w:color w:val="000000"/>
          <w:sz w:val="28"/>
          <w:szCs w:val="28"/>
          <w:u w:val="none"/>
          <w:shd w:fill="FFFFFF" w:val="clear"/>
        </w:rPr>
        <w:t>[in Russian].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3" w:name="_Ref94944428"/>
      <w:r>
        <w:rPr>
          <w:rFonts w:cs="Times New Roman" w:ascii="Times New Roman" w:hAnsi="Times New Roman"/>
          <w:color w:val="000000"/>
          <w:sz w:val="28"/>
          <w:szCs w:val="28"/>
          <w:u w:val="none"/>
          <w:shd w:fill="FFFFFF" w:val="clear"/>
        </w:rPr>
        <w:t xml:space="preserve">Stiglitz, J. (2008, May 6)). The Failure of Inflation Targeting. Project Sindicate. Retrieved from </w:t>
      </w:r>
      <w:bookmarkEnd w:id="23"/>
      <w:r>
        <w:rPr>
          <w:rStyle w:val="InternetLink"/>
          <w:rFonts w:eastAsia="Songti SC" w:cs="Times New Roman" w:ascii="Times New Roman" w:hAnsi="Times New Roman"/>
          <w:color w:val="000000"/>
          <w:kern w:val="2"/>
          <w:sz w:val="28"/>
          <w:szCs w:val="28"/>
          <w:u w:val="none"/>
          <w:shd w:fill="FFFFFF" w:val="clear"/>
          <w:lang w:eastAsia="zh-CN" w:bidi="hi-IN"/>
        </w:rPr>
        <w:t>.</w:t>
      </w:r>
      <w:hyperlink r:id="rId13">
        <w:r>
          <w:rPr>
            <w:rStyle w:val="InternetLink"/>
            <w:rFonts w:eastAsia="Songti SC" w:cs="Times New Roman" w:ascii="Times New Roman" w:hAnsi="Times New Roman"/>
            <w:i/>
            <w:iCs/>
            <w:color w:val="000000"/>
            <w:kern w:val="2"/>
            <w:sz w:val="28"/>
            <w:szCs w:val="28"/>
            <w:u w:val="none"/>
            <w:shd w:fill="FFFFFF" w:val="clear"/>
            <w:lang w:eastAsia="zh-CN" w:bidi="hi-IN"/>
          </w:rPr>
          <w:t>http://www.project-sindicate.org</w:t>
        </w:r>
      </w:hyperlink>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4" w:name="_Ref94944442"/>
      <w:r>
        <w:rPr>
          <w:rFonts w:cs="Times New Roman" w:ascii="Times New Roman" w:hAnsi="Times New Roman"/>
          <w:sz w:val="28"/>
          <w:szCs w:val="28"/>
          <w:shd w:fill="FFFFFF" w:val="clear"/>
        </w:rPr>
        <w:t xml:space="preserve">Blinov, S. (2015). Real money and economic growth. Munich Personal RePEc Archive. </w:t>
      </w:r>
      <w:r>
        <w:rPr>
          <w:rFonts w:cs="Times New Roman" w:ascii="Times New Roman" w:hAnsi="Times New Roman"/>
          <w:color w:val="000000"/>
          <w:sz w:val="28"/>
          <w:szCs w:val="28"/>
          <w:shd w:fill="FFFFFF" w:val="clear"/>
        </w:rPr>
        <w:t>Retrieved from</w:t>
      </w:r>
      <w:r>
        <w:rPr>
          <w:rFonts w:cs="Times New Roman" w:ascii="Times New Roman" w:hAnsi="Times New Roman"/>
          <w:sz w:val="28"/>
          <w:szCs w:val="28"/>
          <w:shd w:fill="FFFFFF" w:val="clear"/>
        </w:rPr>
        <w:t xml:space="preserve"> </w:t>
      </w:r>
      <w:bookmarkEnd w:id="24"/>
      <w:r>
        <w:rPr>
          <w:rFonts w:cs="Times New Roman" w:ascii="Times New Roman" w:hAnsi="Times New Roman"/>
          <w:sz w:val="28"/>
          <w:szCs w:val="28"/>
          <w:shd w:fill="FFFFFF" w:val="clear"/>
        </w:rPr>
        <w:t xml:space="preserve"> https://mpra.ub.uni-muenchen.de/id/eprint/67256.  [in Russian].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5" w:name="_Ref94946609"/>
      <w:r>
        <w:rPr>
          <w:rFonts w:cs="Times New Roman" w:ascii="Times New Roman" w:hAnsi="Times New Roman"/>
          <w:sz w:val="28"/>
          <w:szCs w:val="28"/>
          <w:shd w:fill="FFFFFF" w:val="clear"/>
        </w:rPr>
        <w:t xml:space="preserve">National Bank of Ukraine. </w:t>
      </w:r>
      <w:r>
        <w:rPr>
          <w:rFonts w:cs="Times New Roman" w:ascii="Times New Roman" w:hAnsi="Times New Roman"/>
          <w:color w:val="000000"/>
          <w:sz w:val="28"/>
          <w:szCs w:val="28"/>
          <w:shd w:fill="FFFFFF" w:val="clear"/>
        </w:rPr>
        <w:t>Retrieved from</w:t>
      </w:r>
      <w:r>
        <w:rPr>
          <w:rFonts w:cs="Times New Roman" w:ascii="Times New Roman" w:hAnsi="Times New Roman"/>
          <w:sz w:val="28"/>
          <w:szCs w:val="28"/>
          <w:shd w:fill="FFFFFF" w:val="clear"/>
        </w:rPr>
        <w:t xml:space="preserve"> https://bank.gov.ua</w:t>
      </w:r>
      <w:bookmarkEnd w:id="25"/>
      <w:r>
        <w:rPr>
          <w:rFonts w:cs="Times New Roman" w:ascii="Times New Roman" w:hAnsi="Times New Roman"/>
          <w:sz w:val="28"/>
          <w:szCs w:val="28"/>
          <w:shd w:fill="FFFFFF" w:val="clear"/>
        </w:rPr>
        <w:t>.</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6" w:name="_Ref94946625"/>
      <w:r>
        <w:rPr>
          <w:rFonts w:cs="Times New Roman" w:ascii="Times New Roman" w:hAnsi="Times New Roman"/>
          <w:sz w:val="28"/>
          <w:szCs w:val="28"/>
          <w:shd w:fill="FFFFFF" w:val="clear"/>
        </w:rPr>
        <w:t xml:space="preserve">Price index for construction works. Ministry of Finance. Retrieved from </w:t>
      </w:r>
      <w:bookmarkEnd w:id="26"/>
      <w:r>
        <w:rPr>
          <w:rFonts w:cs="Times New Roman" w:ascii="Times New Roman" w:hAnsi="Times New Roman"/>
          <w:sz w:val="28"/>
          <w:szCs w:val="28"/>
          <w:shd w:fill="FFFFFF" w:val="clear"/>
        </w:rPr>
        <w:t>https://index.minfin.com.ua/economy/index/buildprice/</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r>
        <w:rPr>
          <w:rFonts w:cs="Times New Roman" w:ascii="Times New Roman" w:hAnsi="Times New Roman"/>
          <w:sz w:val="28"/>
          <w:szCs w:val="28"/>
          <w:shd w:fill="FFFFFF" w:val="clear"/>
        </w:rPr>
        <w:t xml:space="preserve">Pshinko, A., Myamlin, V., Myamlin, S. (2012). Influence of the velocity of circulation of the money supply on the efficiency of the national economy. Science and progress of transport. Bulletin of the Dnepropetrovsk National University of Railway Transport.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42. [in Ukrainian].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7" w:name="_Ref94946636"/>
      <w:r>
        <w:rPr>
          <w:rFonts w:cs="Times New Roman" w:ascii="Times New Roman" w:hAnsi="Times New Roman"/>
          <w:sz w:val="28"/>
          <w:szCs w:val="28"/>
          <w:shd w:fill="FFFFFF" w:val="clear"/>
        </w:rPr>
        <w:t>Fumio Hayashi. (2001). The 1990s in Japan: A Lost Decade. University of Tokyo.</w:t>
      </w:r>
      <w:bookmarkEnd w:id="27"/>
      <w:r>
        <w:rPr>
          <w:rFonts w:cs="Times New Roman" w:ascii="Times New Roman" w:hAnsi="Times New Roman"/>
          <w:sz w:val="28"/>
          <w:szCs w:val="28"/>
          <w:shd w:fill="FFFFFF" w:val="clear"/>
        </w:rPr>
        <w:t xml:space="preserve"> D</w:t>
      </w:r>
      <w:r>
        <w:rPr>
          <w:rFonts w:eastAsia="Arial Unicode MS" w:cs="Times New Roman" w:ascii="Times New Roman" w:hAnsi="Times New Roman"/>
          <w:color w:val="000000"/>
          <w:sz w:val="28"/>
          <w:szCs w:val="28"/>
          <w:u w:val="none"/>
          <w:shd w:fill="FFFFFF" w:val="clear"/>
          <w:lang w:val="en-US" w:eastAsia="uk-UA"/>
        </w:rPr>
        <w:t xml:space="preserve">OI: </w:t>
      </w:r>
      <w:hyperlink r:id="rId14" w:tgtFrame="_blank">
        <w:r>
          <w:rPr>
            <w:rStyle w:val="InternetLink"/>
            <w:rFonts w:eastAsia="Arial Unicode MS" w:cs="Times New Roman" w:ascii="Times New Roman" w:hAnsi="Times New Roman"/>
            <w:b w:val="false"/>
            <w:i/>
            <w:iCs/>
            <w:caps w:val="false"/>
            <w:smallCaps w:val="false"/>
            <w:strike w:val="false"/>
            <w:dstrike w:val="false"/>
            <w:color w:val="000000"/>
            <w:spacing w:val="0"/>
            <w:sz w:val="28"/>
            <w:szCs w:val="28"/>
            <w:u w:val="none"/>
            <w:effect w:val="none"/>
            <w:shd w:fill="FFFFFF" w:val="clear"/>
            <w:lang w:val="en-US" w:eastAsia="uk-UA"/>
          </w:rPr>
          <w:t>https://doi.org/10.1006/redy.2001.0149</w:t>
        </w:r>
      </w:hyperlink>
      <w:r>
        <w:rPr>
          <w:rFonts w:eastAsia="Arial Unicode MS" w:cs="Times New Roman" w:ascii="Times New Roman" w:hAnsi="Times New Roman"/>
          <w:b w:val="false"/>
          <w:i/>
          <w:iCs/>
          <w:caps w:val="false"/>
          <w:smallCaps w:val="false"/>
          <w:strike w:val="false"/>
          <w:dstrike w:val="false"/>
          <w:color w:val="000000"/>
          <w:spacing w:val="0"/>
          <w:sz w:val="28"/>
          <w:szCs w:val="28"/>
          <w:u w:val="none"/>
          <w:effect w:val="none"/>
          <w:shd w:fill="FFFFFF" w:val="clear"/>
          <w:lang w:val="en-US" w:eastAsia="uk-UA"/>
        </w:rPr>
        <w:t>.</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r>
        <w:rPr>
          <w:rFonts w:cs="Times New Roman" w:ascii="Times New Roman" w:hAnsi="Times New Roman"/>
          <w:sz w:val="28"/>
          <w:szCs w:val="28"/>
          <w:shd w:fill="FFFFFF" w:val="clear"/>
        </w:rPr>
        <w:t xml:space="preserve">China's Potential Loss From NPLs Estimated At $1 Trillion. (2016). RBC. </w:t>
      </w:r>
      <w:r>
        <w:rPr>
          <w:rFonts w:cs="Times New Roman" w:ascii="Times New Roman" w:hAnsi="Times New Roman"/>
          <w:color w:val="000000"/>
          <w:sz w:val="28"/>
          <w:szCs w:val="28"/>
          <w:shd w:fill="FFFFFF" w:val="clear"/>
        </w:rPr>
        <w:t>Retrieved from</w:t>
      </w:r>
      <w:r>
        <w:rPr>
          <w:rFonts w:cs="Times New Roman" w:ascii="Times New Roman" w:hAnsi="Times New Roman"/>
          <w:sz w:val="28"/>
          <w:szCs w:val="28"/>
          <w:shd w:fill="FFFFFF" w:val="clear"/>
        </w:rPr>
        <w:t xml:space="preserve"> </w:t>
      </w:r>
      <w:r>
        <w:rPr>
          <w:rFonts w:cs="Times New Roman" w:ascii="Times New Roman" w:hAnsi="Times New Roman"/>
          <w:i/>
          <w:iCs/>
          <w:sz w:val="28"/>
          <w:szCs w:val="28"/>
        </w:rPr>
        <w:t>https://www.rbc.ru/finances/06/05/2016/572c79239a7947861367effd</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8" w:name="_Ref95041636"/>
      <w:r>
        <w:rPr>
          <w:rFonts w:cs="Times New Roman" w:ascii="Times New Roman" w:hAnsi="Times New Roman"/>
          <w:sz w:val="28"/>
          <w:szCs w:val="28"/>
          <w:shd w:fill="FFFFFF" w:val="clear"/>
        </w:rPr>
        <w:t xml:space="preserve">Kartaev, F. (2019). How inflation targeting influences economic growth. </w:t>
      </w:r>
      <w:r>
        <w:rPr>
          <w:rFonts w:cs="Times New Roman" w:ascii="Times New Roman" w:hAnsi="Times New Roman"/>
          <w:sz w:val="28"/>
          <w:szCs w:val="28"/>
          <w:shd w:fill="FFFFFF" w:val="clear"/>
          <w:lang w:val="de-DE"/>
        </w:rPr>
        <w:t>Ekons.</w:t>
      </w:r>
      <w:r>
        <w:rPr>
          <w:rFonts w:cs="Times New Roman" w:ascii="Times New Roman" w:hAnsi="Times New Roman"/>
          <w:sz w:val="28"/>
          <w:szCs w:val="28"/>
          <w:lang w:val="de-DE"/>
        </w:rPr>
        <w:t xml:space="preserve"> </w:t>
      </w:r>
      <w:r>
        <w:rPr>
          <w:rFonts w:cs="Times New Roman" w:ascii="Times New Roman" w:hAnsi="Times New Roman"/>
          <w:sz w:val="28"/>
          <w:szCs w:val="28"/>
        </w:rPr>
        <w:t>Retrieved from</w:t>
      </w:r>
      <w:bookmarkEnd w:id="28"/>
      <w:r>
        <w:rPr>
          <w:rStyle w:val="InternetLink"/>
          <w:rFonts w:cs="Times New Roman" w:ascii="Times New Roman" w:hAnsi="Times New Roman"/>
          <w:i/>
          <w:iCs/>
          <w:sz w:val="28"/>
          <w:szCs w:val="28"/>
        </w:rPr>
        <w:t xml:space="preserve"> </w:t>
      </w:r>
      <w:r>
        <w:rPr>
          <w:rFonts w:cs="Times New Roman" w:ascii="Times New Roman" w:hAnsi="Times New Roman"/>
          <w:sz w:val="28"/>
          <w:szCs w:val="28"/>
        </w:rPr>
        <w:t xml:space="preserve"> https://econs.online/articles/opinions/kak-inflyatsionnoe-targetirovanie-vliyaet-na-rost/ [in Russian].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29" w:name="_Ref95041520"/>
      <w:r>
        <w:rPr>
          <w:rFonts w:cs="Times New Roman" w:ascii="Times New Roman" w:hAnsi="Times New Roman"/>
          <w:sz w:val="28"/>
          <w:szCs w:val="28"/>
          <w:shd w:fill="FFFFFF" w:val="clear"/>
        </w:rPr>
        <w:t>Kartaev, F. (2018). Assessment of the impact of monetary policy on economic growth for various groups of countries. Finance: theory and practice. T. 22,</w:t>
      </w:r>
      <w:r>
        <w:rPr>
          <w:rFonts w:cs="Times New Roman" w:ascii="Times New Roman" w:hAnsi="Times New Roman"/>
          <w:sz w:val="28"/>
          <w:szCs w:val="28"/>
        </w:rPr>
        <w:t xml:space="preserve"> №1</w:t>
      </w:r>
      <w:bookmarkEnd w:id="29"/>
      <w:r>
        <w:rPr>
          <w:rFonts w:cs="Times New Roman" w:ascii="Times New Roman" w:hAnsi="Times New Roman"/>
          <w:sz w:val="28"/>
          <w:szCs w:val="28"/>
        </w:rPr>
        <w:t>. [in Russian].</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30" w:name="_Ref95041553"/>
      <w:r>
        <w:rPr>
          <w:rFonts w:cs="Times New Roman" w:ascii="Times New Roman" w:hAnsi="Times New Roman"/>
          <w:sz w:val="28"/>
          <w:szCs w:val="28"/>
        </w:rPr>
        <w:t xml:space="preserve">Klochkova, O. (2017). Modeling the impact of inflation on economic growth for countries with different levels of economic freedom. Economic policy. </w:t>
      </w:r>
      <w:r>
        <w:rPr>
          <w:rFonts w:cs="Times New Roman" w:ascii="Times New Roman" w:hAnsi="Times New Roman"/>
          <w:sz w:val="28"/>
          <w:szCs w:val="28"/>
          <w:lang w:val="ru-RU"/>
        </w:rPr>
        <w:t xml:space="preserve">Т. 12. № 5. </w:t>
      </w:r>
      <w:r>
        <w:rPr>
          <w:rFonts w:cs="Times New Roman" w:ascii="Times New Roman" w:hAnsi="Times New Roman"/>
          <w:sz w:val="28"/>
          <w:szCs w:val="28"/>
        </w:rPr>
        <w:t>p</w:t>
      </w:r>
      <w:r>
        <w:rPr>
          <w:rFonts w:cs="Times New Roman" w:ascii="Times New Roman" w:hAnsi="Times New Roman"/>
          <w:sz w:val="28"/>
          <w:szCs w:val="28"/>
          <w:lang w:val="ru-RU"/>
        </w:rPr>
        <w:t>. 22–41.</w:t>
      </w:r>
      <w:bookmarkEnd w:id="30"/>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31" w:name="_Ref94946678"/>
      <w:r>
        <w:rPr>
          <w:rFonts w:cs="Times New Roman" w:ascii="Times New Roman" w:hAnsi="Times New Roman"/>
          <w:sz w:val="28"/>
          <w:szCs w:val="28"/>
          <w:shd w:fill="FFFFFF" w:val="clear"/>
        </w:rPr>
        <w:t xml:space="preserve">World Bank. </w:t>
      </w:r>
      <w:r>
        <w:rPr>
          <w:rFonts w:cs="Times New Roman" w:ascii="Times New Roman" w:hAnsi="Times New Roman"/>
          <w:sz w:val="28"/>
          <w:szCs w:val="28"/>
        </w:rPr>
        <w:t xml:space="preserve">Retrieved from </w:t>
      </w:r>
      <w:r>
        <w:rPr>
          <w:rFonts w:cs="Times New Roman" w:ascii="Times New Roman" w:hAnsi="Times New Roman"/>
          <w:i/>
          <w:iCs/>
          <w:sz w:val="28"/>
          <w:szCs w:val="28"/>
          <w:shd w:fill="FFFFFF" w:val="clear"/>
        </w:rPr>
        <w:t>https://www.worldbank.org</w:t>
      </w:r>
      <w:bookmarkEnd w:id="31"/>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r>
        <w:rPr>
          <w:rFonts w:eastAsia="Arial Unicode MS" w:cs="Times New Roman" w:ascii="Times New Roman" w:hAnsi="Times New Roman"/>
          <w:color w:val="000000"/>
          <w:sz w:val="28"/>
          <w:szCs w:val="28"/>
          <w:u w:val="none"/>
          <w:lang w:val="en-US" w:eastAsia="uk-UA"/>
        </w:rPr>
        <w:t>Kelion, L. (2021, February 5). The world is running out of chips. What does the coronavirus have to do with it and what will happen to electronics no</w:t>
      </w:r>
      <w:bookmarkStart w:id="32" w:name="_Ref94946694"/>
      <w:r>
        <w:rPr>
          <w:rFonts w:eastAsia="Arial Unicode MS" w:cs="Times New Roman" w:ascii="Times New Roman" w:hAnsi="Times New Roman"/>
          <w:color w:val="000000"/>
          <w:sz w:val="28"/>
          <w:szCs w:val="28"/>
          <w:u w:val="none"/>
          <w:lang w:val="en-US" w:eastAsia="uk-UA"/>
        </w:rPr>
        <w:t>w</w:t>
      </w:r>
      <w:bookmarkEnd w:id="32"/>
      <w:r>
        <w:rPr>
          <w:rFonts w:eastAsia="Arial Unicode MS" w:cs="Times New Roman" w:ascii="Times New Roman" w:hAnsi="Times New Roman"/>
          <w:color w:val="000000"/>
          <w:sz w:val="28"/>
          <w:szCs w:val="28"/>
          <w:u w:val="none"/>
          <w:lang w:val="en-US" w:eastAsia="uk-UA"/>
        </w:rPr>
        <w:t xml:space="preserve">. BBC. </w:t>
      </w:r>
      <w:r>
        <w:rPr>
          <w:rFonts w:eastAsia="Arial Unicode MS" w:cs="Times New Roman" w:ascii="Times New Roman" w:hAnsi="Times New Roman"/>
          <w:b w:val="false"/>
          <w:bCs w:val="false"/>
          <w:color w:val="000000"/>
          <w:sz w:val="28"/>
          <w:szCs w:val="28"/>
          <w:u w:val="none"/>
          <w:lang w:val="en-US" w:eastAsia="uk-UA"/>
        </w:rPr>
        <w:t xml:space="preserve">Retrieved from </w:t>
      </w:r>
      <w:hyperlink r:id="rId15">
        <w:r>
          <w:rPr>
            <w:rStyle w:val="InternetLink"/>
            <w:rFonts w:eastAsia="Arial Unicode MS" w:cs="Times New Roman" w:ascii="Times New Roman" w:hAnsi="Times New Roman"/>
            <w:b w:val="false"/>
            <w:bCs w:val="false"/>
            <w:i/>
            <w:iCs/>
            <w:color w:val="000000"/>
            <w:sz w:val="28"/>
            <w:szCs w:val="28"/>
            <w:u w:val="none"/>
            <w:lang w:val="en-US" w:eastAsia="uk-UA"/>
          </w:rPr>
          <w:t>https://www.bbc.com/russian/news-55950090</w:t>
        </w:r>
      </w:hyperlink>
      <w:r>
        <w:rPr>
          <w:rFonts w:eastAsia="Arial Unicode MS" w:cs="Times New Roman" w:ascii="Times New Roman" w:hAnsi="Times New Roman"/>
          <w:b w:val="false"/>
          <w:bCs w:val="false"/>
          <w:color w:val="000000"/>
          <w:sz w:val="28"/>
          <w:szCs w:val="28"/>
          <w:u w:val="none"/>
          <w:lang w:val="en-US" w:eastAsia="uk-UA"/>
        </w:rPr>
        <w:t xml:space="preserve"> [in Russian]. </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33" w:name="_Ref94946716"/>
      <w:r>
        <w:rPr>
          <w:rFonts w:cs="Times New Roman" w:ascii="Times New Roman" w:hAnsi="Times New Roman"/>
          <w:b w:val="false"/>
          <w:bCs w:val="false"/>
          <w:sz w:val="28"/>
          <w:szCs w:val="28"/>
          <w:shd w:fill="FFFFFF" w:val="clear"/>
        </w:rPr>
        <w:t xml:space="preserve">Scikit-learn. </w:t>
      </w:r>
      <w:r>
        <w:rPr>
          <w:rFonts w:cs="Times New Roman" w:ascii="Times New Roman" w:hAnsi="Times New Roman"/>
          <w:b w:val="false"/>
          <w:bCs w:val="false"/>
          <w:sz w:val="28"/>
          <w:szCs w:val="28"/>
        </w:rPr>
        <w:t>Retrieved from</w:t>
      </w:r>
      <w:r>
        <w:rPr>
          <w:rFonts w:cs="Times New Roman" w:ascii="Times New Roman" w:hAnsi="Times New Roman"/>
          <w:b w:val="false"/>
          <w:bCs w:val="false"/>
          <w:sz w:val="28"/>
          <w:szCs w:val="28"/>
          <w:shd w:fill="FFFFFF" w:val="clear"/>
        </w:rPr>
        <w:t xml:space="preserve"> </w:t>
      </w:r>
      <w:r>
        <w:rPr>
          <w:rFonts w:cs="Times New Roman" w:ascii="Times New Roman" w:hAnsi="Times New Roman"/>
          <w:b w:val="false"/>
          <w:bCs w:val="false"/>
          <w:i/>
          <w:iCs/>
          <w:sz w:val="28"/>
          <w:szCs w:val="28"/>
          <w:shd w:fill="FFFFFF" w:val="clear"/>
        </w:rPr>
        <w:t xml:space="preserve"> </w:t>
      </w:r>
      <w:bookmarkEnd w:id="33"/>
      <w:r>
        <w:rPr>
          <w:rFonts w:cs="Times New Roman" w:ascii="Times New Roman" w:hAnsi="Times New Roman"/>
          <w:b w:val="false"/>
          <w:bCs w:val="false"/>
          <w:i/>
          <w:iCs/>
          <w:sz w:val="28"/>
          <w:szCs w:val="28"/>
          <w:shd w:fill="FFFFFF" w:val="clear"/>
        </w:rPr>
        <w:t>https://scikit-learn.org/</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r>
        <w:rPr>
          <w:rStyle w:val="StrongEmphasis"/>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effect w:val="none"/>
          <w:shd w:fill="FFFFFF" w:val="clear"/>
          <w:lang w:val="en-US" w:eastAsia="uk-UA"/>
        </w:rPr>
        <w:t xml:space="preserve">Lypnytska, P. </w:t>
      </w:r>
      <w:hyperlink r:id="rId16">
        <w:r>
          <w:rPr>
            <w:rStyle w:val="InternetLink"/>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effect w:val="none"/>
            <w:shd w:fill="FFFFFF" w:val="clear"/>
            <w:lang w:val="en-US" w:eastAsia="uk-UA"/>
          </w:rPr>
          <w:t>Invest2M2World</w:t>
        </w:r>
      </w:hyperlink>
      <w:bookmarkStart w:id="34" w:name="_Ref94946727"/>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GitHub</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rPr>
        <w:t>Retrieved from</w:t>
      </w:r>
      <w:bookmarkEnd w:id="34"/>
      <w:r>
        <w:rPr>
          <w:rFonts w:cs="Times New Roman" w:ascii="Times New Roman" w:hAnsi="Times New Roman"/>
          <w:sz w:val="28"/>
          <w:szCs w:val="28"/>
        </w:rPr>
        <w:t xml:space="preserve"> https://github.com/Polinden/Invest2M2World.</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35" w:name="_Ref94946819"/>
      <w:r>
        <w:rPr>
          <w:rFonts w:cs="Times New Roman" w:ascii="Times New Roman" w:hAnsi="Times New Roman"/>
          <w:color w:val="auto"/>
          <w:sz w:val="28"/>
          <w:szCs w:val="28"/>
        </w:rPr>
        <w:t>All of Sta</w:t>
      </w:r>
      <w:r>
        <w:rPr>
          <w:rFonts w:cs="Times New Roman" w:ascii="Times New Roman" w:hAnsi="Times New Roman"/>
          <w:sz w:val="28"/>
          <w:szCs w:val="28"/>
        </w:rPr>
        <w:t>tistics: A Concise Course in Statistical Inference. (2004). Springer. New York. P. 43</w:t>
      </w:r>
      <w:bookmarkEnd w:id="35"/>
      <w:r>
        <w:rPr>
          <w:rFonts w:cs="Times New Roman" w:ascii="Times New Roman" w:hAnsi="Times New Roman"/>
          <w:sz w:val="28"/>
          <w:szCs w:val="28"/>
        </w:rPr>
        <w:t>4.</w:t>
      </w:r>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36" w:name="_Ref95049267"/>
      <w:r>
        <w:rPr>
          <w:rFonts w:cs="Times New Roman" w:ascii="Times New Roman" w:hAnsi="Times New Roman"/>
          <w:sz w:val="28"/>
          <w:szCs w:val="28"/>
        </w:rPr>
        <w:t>Hastie, T. (2017). The Elements of Statistical Learning. Springer. New York. P. 745.</w:t>
      </w:r>
      <w:bookmarkEnd w:id="36"/>
    </w:p>
    <w:p>
      <w:pPr>
        <w:pStyle w:val="ListParagraph"/>
        <w:numPr>
          <w:ilvl w:val="0"/>
          <w:numId w:val="1"/>
        </w:numPr>
        <w:tabs>
          <w:tab w:val="clear" w:pos="708"/>
          <w:tab w:val="left" w:pos="426" w:leader="none"/>
        </w:tabs>
        <w:suppressAutoHyphens w:val="true"/>
        <w:spacing w:lineRule="auto" w:line="240" w:before="0" w:after="60"/>
        <w:ind w:left="851" w:right="0" w:hanging="851"/>
        <w:jc w:val="left"/>
        <w:rPr/>
      </w:pPr>
      <w:bookmarkStart w:id="37" w:name="_Ref94946931"/>
      <w:r>
        <w:rPr>
          <w:rFonts w:cs="Times New Roman" w:ascii="Times New Roman" w:hAnsi="Times New Roman"/>
          <w:sz w:val="28"/>
          <w:szCs w:val="28"/>
        </w:rPr>
        <w:t xml:space="preserve">Comaniciu, D., Meer, P. (2002). Mean Shift: A Robust Approach toward Feature Space Analysis. </w:t>
      </w:r>
      <w:r>
        <w:rPr>
          <w:rStyle w:val="Emphasis"/>
          <w:rFonts w:eastAsia="Songti SC" w:cs="Times New Roman" w:ascii="Times New Roman" w:hAnsi="Times New Roman"/>
          <w:i w:val="false"/>
          <w:kern w:val="2"/>
          <w:sz w:val="28"/>
          <w:szCs w:val="28"/>
          <w:lang w:eastAsia="zh-CN" w:bidi="hi-IN"/>
        </w:rPr>
        <w:t xml:space="preserve">EEE </w:t>
      </w:r>
      <w:r>
        <w:rPr>
          <w:rStyle w:val="Emphasis"/>
          <w:rFonts w:eastAsia="Songti SC" w:cs="Times New Roman" w:ascii="Times New Roman" w:hAnsi="Times New Roman"/>
          <w:i w:val="false"/>
          <w:kern w:val="2"/>
          <w:sz w:val="28"/>
          <w:szCs w:val="28"/>
          <w:shd w:fill="FFFFFF" w:val="clear"/>
          <w:lang w:eastAsia="zh-CN" w:bidi="hi-IN"/>
        </w:rPr>
        <w:t xml:space="preserve">Transactions on Pattern Analysis and Machine Intelligence. </w:t>
      </w:r>
      <w:bookmarkEnd w:id="37"/>
    </w:p>
    <w:p>
      <w:pPr>
        <w:pStyle w:val="Normal"/>
        <w:tabs>
          <w:tab w:val="clear" w:pos="708"/>
          <w:tab w:val="left" w:pos="284" w:leader="none"/>
        </w:tabs>
        <w:spacing w:lineRule="auto" w:line="259" w:before="0" w:after="120"/>
        <w:jc w:val="left"/>
        <w:rPr/>
      </w:pPr>
      <w:r>
        <w:rPr/>
      </w:r>
    </w:p>
    <w:sectPr>
      <w:headerReference w:type="default" r:id="rId17"/>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13</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false"/>
      <w:overflowPunct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qFormat/>
    <w:pPr>
      <w:numPr>
        <w:ilvl w:val="0"/>
        <w:numId w:val="0"/>
      </w:num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qFormat/>
    <w:pPr>
      <w:numPr>
        <w:ilvl w:val="0"/>
        <w:numId w:val="0"/>
      </w:numPr>
      <w:tabs>
        <w:tab w:val="clear" w:pos="708"/>
        <w:tab w:val="left" w:pos="1736" w:leader="none"/>
        <w:tab w:val="left" w:pos="2019" w:leader="none"/>
      </w:tabs>
      <w:spacing w:before="0" w:after="120"/>
      <w:ind w:left="0" w:right="0"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qFormat/>
    <w:pPr>
      <w:numPr>
        <w:ilvl w:val="0"/>
        <w:numId w:val="0"/>
      </w:numPr>
      <w:ind w:left="0" w:right="0" w:firstLine="709"/>
      <w:jc w:val="both"/>
      <w:outlineLvl w:val="2"/>
    </w:pPr>
    <w:rPr>
      <w:rFonts w:ascii="Times New Roman" w:hAnsi="Times New Roman" w:cs="Times New Roman"/>
      <w:sz w:val="28"/>
      <w:szCs w:val="28"/>
    </w:rPr>
  </w:style>
  <w:style w:type="character" w:styleId="DefaultParagraphFont">
    <w:name w:val="Default Paragraph Font"/>
    <w:qFormat/>
    <w:rPr/>
  </w:style>
  <w:style w:type="character" w:styleId="HTML">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name w:val="Нижний колонтитул Знак"/>
    <w:basedOn w:val="DefaultParagraphFont"/>
    <w:qFormat/>
    <w:rPr>
      <w:rFonts w:ascii="Calibri" w:hAnsi="Calibri" w:eastAsia="Arial Unicode MS" w:cs="Arial Unicode MS"/>
      <w:color w:val="000000"/>
      <w:u w:val="none"/>
      <w:lang w:eastAsia="uk-UA"/>
    </w:rPr>
  </w:style>
  <w:style w:type="character" w:styleId="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Wwwc">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StrongEmphasis">
    <w:name w:val="Strong Emphasis"/>
    <w:qFormat/>
    <w:rPr>
      <w:b/>
      <w:bC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eastAsia="Arial Unicode MS" w:cs="Arial Unicode MS"/>
      <w:color w:val="000000"/>
      <w:sz w:val="20"/>
      <w:szCs w:val="20"/>
      <w:lang w:eastAsia="uk-UA"/>
    </w:rPr>
  </w:style>
  <w:style w:type="character" w:styleId="CommentSubjectChar">
    <w:name w:val="Comment Subject Char"/>
    <w:basedOn w:val="CommentTextChar"/>
    <w:qFormat/>
    <w:rPr>
      <w:rFonts w:eastAsia="Arial Unicode MS" w:cs="Arial Unicode MS"/>
      <w:b/>
      <w:bCs/>
      <w:color w:val="000000"/>
      <w:sz w:val="20"/>
      <w:szCs w:val="20"/>
      <w:lang w:eastAsia="uk-UA"/>
    </w:rPr>
  </w:style>
  <w:style w:type="character" w:styleId="LineNumbering">
    <w:name w:val="Line Numbering"/>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name w:val="Header &amp; Footer"/>
    <w:qFormat/>
    <w:pPr>
      <w:widowControl/>
      <w:tabs>
        <w:tab w:val="clear" w:pos="708"/>
        <w:tab w:val="right" w:pos="9020" w:leader="none"/>
      </w:tabs>
      <w:suppressAutoHyphens w:val="true"/>
      <w:overflowPunct w:val="fals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overflowPunct w:val="false"/>
      <w:bidi w:val="0"/>
      <w:spacing w:lineRule="auto" w:line="259" w:before="0" w:after="160"/>
      <w:ind w:left="720" w:right="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overflowPunct w:val="fals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name w:val="www сноcка"/>
    <w:basedOn w:val="Footnote"/>
    <w:qFormat/>
    <w:pPr>
      <w:ind w:left="0" w:right="0" w:firstLine="709"/>
    </w:pPr>
    <w:rPr>
      <w:rFonts w:ascii="Times New Roman" w:hAnsi="Times New Roman"/>
      <w:sz w:val="24"/>
    </w:rPr>
  </w:style>
  <w:style w:type="paragraph" w:styleId="Default">
    <w:name w:val="Default"/>
    <w:qFormat/>
    <w:pPr>
      <w:widowControl/>
      <w:suppressAutoHyphens w:val="true"/>
      <w:overflowPunct w:val="false"/>
      <w:bidi w:val="0"/>
      <w:spacing w:before="0" w:after="0"/>
      <w:jc w:val="left"/>
    </w:pPr>
    <w:rPr>
      <w:rFonts w:ascii="Code" w:hAnsi="Code" w:eastAsia="Calibri" w:cs="Code"/>
      <w:color w:val="000000"/>
      <w:kern w:val="0"/>
      <w:sz w:val="24"/>
      <w:szCs w:val="24"/>
      <w:lang w:val="en-US" w:eastAsia="en-US" w:bidi="ar-SA"/>
    </w:rPr>
  </w:style>
  <w:style w:type="paragraph" w:styleId="BVIfnr">
    <w:name w:val="BVI fnr Знак"/>
    <w:basedOn w:val="Normal"/>
    <w:qFormat/>
    <w:pPr>
      <w:spacing w:lineRule="exact" w:line="240"/>
    </w:pPr>
    <w:rPr>
      <w:rFonts w:eastAsia="Calibri" w:cs="Tahoma"/>
      <w:color w:val="auto"/>
      <w:vertAlign w:val="superscript"/>
      <w:lang w:eastAsia="en-US"/>
    </w:rPr>
  </w:style>
  <w:style w:type="paragraph" w:styleId="TableContents">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jc w:val="center"/>
    </w:pPr>
    <w:rPr>
      <w:b/>
      <w:bCs/>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next w:val="Annotationtext"/>
    <w:link w:val="CommentSubjectChar"/>
    <w:qFormat/>
    <w:pPr/>
    <w:rPr>
      <w:b/>
      <w:bCs/>
    </w:rPr>
  </w:style>
  <w:style w:type="paragraph" w:styleId="Revision">
    <w:name w:val="Revision"/>
    <w:qFormat/>
    <w:pPr>
      <w:widowControl/>
      <w:suppressAutoHyphens w:val="false"/>
      <w:overflowPunct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name w:val="No List"/>
    <w:qFormat/>
  </w:style>
  <w:style w:type="numbering" w:styleId="ImportedStyle1">
    <w:name w:val="Imported Style 1"/>
    <w:qFormat/>
  </w:style>
  <w:style w:type="numbering" w:styleId="ImportedStyle2">
    <w:name w:val="Imported Style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mpersina@gmail.com" TargetMode="External"/><Relationship Id="rId3" Type="http://schemas.openxmlformats.org/officeDocument/2006/relationships/hyperlink" Target="https://orcid.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conpapers.repec.org/article/ecjeconjl/" TargetMode="External"/><Relationship Id="rId13" Type="http://schemas.openxmlformats.org/officeDocument/2006/relationships/hyperlink" Target="http://www.project-sindicate.org/" TargetMode="External"/><Relationship Id="rId14" Type="http://schemas.openxmlformats.org/officeDocument/2006/relationships/hyperlink" Target="https://doi.org/10.1006/redy.2001.0149" TargetMode="External"/><Relationship Id="rId15" Type="http://schemas.openxmlformats.org/officeDocument/2006/relationships/hyperlink" Target="https://www.bbc.com/russian/news-55950090" TargetMode="External"/><Relationship Id="rId16" Type="http://schemas.openxmlformats.org/officeDocument/2006/relationships/hyperlink" Target="https://github.com/Polinden/Invest2M2World"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188</TotalTime>
  <Application>LibreOffice/7.3.0.3$MacOSX_X86_64 LibreOffice_project/0f246aa12d0eee4a0f7adcefbf7c878fc2238db3</Application>
  <AppVersion>15.0000</AppVersion>
  <Pages>13</Pages>
  <Words>4407</Words>
  <Characters>24934</Characters>
  <CharactersWithSpaces>29328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2022-02-10T22:05:01Z</cp:lastPrinted>
  <dcterms:modified xsi:type="dcterms:W3CDTF">2022-02-10T23:44:17Z</dcterms:modified>
  <cp:revision>45</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