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right"/>
        <w:rPr>
          <w:lang w:val="en-US"/>
        </w:rPr>
      </w:pPr>
      <w:r>
        <w:rPr>
          <w:lang w:val="en-US"/>
        </w:rPr>
        <w:t>Lypnytsky Denys, PhD</w:t>
      </w:r>
    </w:p>
    <w:p>
      <w:pPr>
        <w:pStyle w:val="Normal"/>
        <w:jc w:val="right"/>
        <w:rPr>
          <w:lang w:val="en-US"/>
        </w:rPr>
      </w:pPr>
      <w:r>
        <w:rPr>
          <w:rFonts w:cs="Times New Roman" w:ascii="Times New Roman" w:hAnsi="Times New Roman"/>
          <w:sz w:val="24"/>
          <w:szCs w:val="24"/>
          <w:lang w:val="en-US"/>
        </w:rPr>
        <w:t xml:space="preserve">application architect, technical trainer, i-Klass Center LLC. </w:t>
      </w:r>
    </w:p>
    <w:p>
      <w:pPr>
        <w:pStyle w:val="Normal"/>
        <w:jc w:val="right"/>
        <w:rPr>
          <w:lang w:val="en-US"/>
        </w:rPr>
      </w:pPr>
      <w:r>
        <w:rPr>
          <w:rFonts w:cs="Times New Roman" w:ascii="Times New Roman" w:hAnsi="Times New Roman"/>
          <w:sz w:val="24"/>
          <w:szCs w:val="24"/>
          <w:lang w:val="en-US"/>
        </w:rPr>
        <w:t>Е-mail: denis.lipnitsky@i-klass.com https://orcid.org/0000-0002-4616-7936</w:t>
      </w:r>
    </w:p>
    <w:p>
      <w:pPr>
        <w:pStyle w:val="Heading1"/>
        <w:jc w:val="right"/>
        <w:rPr>
          <w:lang w:val="en-US"/>
        </w:rPr>
      </w:pPr>
      <w:r>
        <w:rPr>
          <w:lang w:val="en-US"/>
        </w:rPr>
        <w:t xml:space="preserve">Lypnytska Polina  </w:t>
      </w:r>
    </w:p>
    <w:p>
      <w:pPr>
        <w:pStyle w:val="Normal"/>
        <w:jc w:val="right"/>
        <w:rPr>
          <w:lang w:val="en-US"/>
        </w:rPr>
      </w:pPr>
      <w:r>
        <w:rPr>
          <w:rFonts w:cs="Times New Roman" w:ascii="Times New Roman" w:hAnsi="Times New Roman"/>
          <w:sz w:val="24"/>
          <w:szCs w:val="24"/>
          <w:lang w:val="en-US"/>
        </w:rPr>
        <w:t>_________________________________________________________________</w:t>
      </w:r>
    </w:p>
    <w:p>
      <w:pPr>
        <w:pStyle w:val="Normal"/>
        <w:jc w:val="right"/>
        <w:rPr>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_______________________ https://orcid.org/__________________</w:t>
      </w:r>
    </w:p>
    <w:p>
      <w:pPr>
        <w:pStyle w:val="Normal"/>
        <w:rPr>
          <w:lang w:val="en-US"/>
        </w:rPr>
      </w:pPr>
      <w:r>
        <w:rPr>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1"/>
        <w:jc w:val="center"/>
        <w:rPr>
          <w:lang w:val="en-US"/>
        </w:rPr>
      </w:pPr>
      <w:r>
        <w:rPr>
          <w:lang w:val="en-US"/>
        </w:rPr>
        <w:t xml:space="preserve">MONEY SUPPLY IMPACT ON INVESTMENT AND GDP: </w:t>
      </w:r>
    </w:p>
    <w:p>
      <w:pPr>
        <w:pStyle w:val="Heading1"/>
        <w:jc w:val="center"/>
        <w:rPr>
          <w:lang w:val="en-US"/>
        </w:rPr>
      </w:pPr>
      <w:r>
        <w:rPr>
          <w:lang w:val="en-US"/>
        </w:rPr>
        <w:t>STATISTICAL ANALYSIS</w:t>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color w:val="0E101A"/>
          <w:sz w:val="28"/>
          <w:szCs w:val="28"/>
          <w:lang w:val="en-US"/>
        </w:rPr>
        <w:t>Introduction</w:t>
      </w:r>
    </w:p>
    <w:p>
      <w:pPr>
        <w:pStyle w:val="TextBody"/>
        <w:spacing w:before="0" w:after="0"/>
        <w:jc w:val="both"/>
        <w:rPr/>
      </w:pPr>
      <w:r>
        <w:rPr>
          <w:color w:val="0E101A"/>
          <w:lang w:val="en-US"/>
        </w:rPr>
        <w:tab/>
      </w:r>
      <w:r>
        <w:rPr>
          <w:rFonts w:cs="Times New Roman" w:ascii="Times New Roman" w:hAnsi="Times New Roman"/>
          <w:sz w:val="28"/>
          <w:szCs w:val="28"/>
          <w:lang w:val="en-US"/>
        </w:rPr>
        <w:t xml:space="preserve">Since the beginning of the </w:t>
      </w:r>
      <w:r>
        <w:rPr>
          <w:rStyle w:val="Emphasis"/>
          <w:rFonts w:cs="Times New Roman" w:ascii="Times New Roman" w:hAnsi="Times New Roman"/>
          <w:i w:val="false"/>
          <w:sz w:val="28"/>
          <w:szCs w:val="28"/>
          <w:lang w:val="en-US"/>
        </w:rPr>
        <w:t>20th</w:t>
      </w:r>
      <w:r>
        <w:rPr>
          <w:rFonts w:cs="Times New Roman" w:ascii="Times New Roman" w:hAnsi="Times New Roman"/>
          <w:sz w:val="28"/>
          <w:szCs w:val="28"/>
          <w:lang w:val="en-US"/>
        </w:rPr>
        <w:t xml:space="preserve"> century, the world economy has faced two great challenges - the global financial crisis of 2007-2008 and the COVID-19 pandemic. To mitigate their impact, the world-leading money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rise of public debt. Such a policy means that the central banks and monetary authorities participate directly in financing government expenditures (unacceptable in the orthodox economic theory) via the constant expansion of the monetary base [1]. In such circumstances, the emerging economies met a few new problems, including the heavy need to maintain economic growth together with the high probability of increasing exchange rates and imported inflation.</w:t>
      </w:r>
    </w:p>
    <w:p>
      <w:pPr>
        <w:pStyle w:val="TextBody"/>
        <w:spacing w:before="0" w:after="0"/>
        <w:jc w:val="both"/>
        <w:rPr/>
      </w:pPr>
      <w:r>
        <w:rPr>
          <w:rFonts w:cs="Times New Roman" w:ascii="Times New Roman" w:hAnsi="Times New Roman"/>
          <w:sz w:val="28"/>
          <w:szCs w:val="28"/>
          <w:lang w:val="en-US"/>
        </w:rPr>
        <w:tab/>
        <w:t xml:space="preserve">The </w:t>
      </w:r>
      <w:r>
        <w:rPr>
          <w:rStyle w:val="Emphasis"/>
          <w:rFonts w:cs="Times New Roman" w:ascii="Times New Roman" w:hAnsi="Times New Roman"/>
          <w:i w:val="false"/>
          <w:sz w:val="28"/>
          <w:szCs w:val="28"/>
          <w:lang w:val="en-US"/>
        </w:rPr>
        <w:t xml:space="preserve">situation is getting even </w:t>
      </w:r>
      <w:r>
        <w:rPr>
          <w:rFonts w:cs="Times New Roman" w:ascii="Times New Roman" w:hAnsi="Times New Roman"/>
          <w:sz w:val="28"/>
          <w:szCs w:val="28"/>
          <w:lang w:val="en-US"/>
        </w:rPr>
        <w:t>more complicated since the world is experiencing the fundamental transformations brought by the 4th Industrial Revolution. Many of its technologies are still at the initial phase, which means that the further steps would require active government support [2],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pPr>
        <w:pStyle w:val="TextBody"/>
        <w:spacing w:before="0" w:after="0"/>
        <w:jc w:val="both"/>
        <w:rPr>
          <w:lang w:val="en-US"/>
        </w:rPr>
      </w:pPr>
      <w:r>
        <w:rPr>
          <w:rFonts w:cs="Times New Roman" w:ascii="Times New Roman" w:hAnsi="Times New Roman"/>
          <w:sz w:val="28"/>
          <w:szCs w:val="28"/>
          <w:lang w:val="en-US"/>
        </w:rPr>
        <w:tab/>
        <w:t>How the changes in money supply influence investment and GDP has been studied intensively in recent history. However, not all aspects of this impact have been sufficiently researched. In particular, in the presence of the “new normality” that has evolved in recent years. Which limits the use of well-known classical concepts and models in monetary policy, especially for emerging economies to which Ukraine belongs.</w:t>
      </w:r>
    </w:p>
    <w:p>
      <w:pPr>
        <w:pStyle w:val="TextBody"/>
        <w:spacing w:before="0" w:after="0"/>
        <w:jc w:val="both"/>
        <w:rPr>
          <w:lang w:val="en-US"/>
        </w:rPr>
      </w:pPr>
      <w:r>
        <w:rPr>
          <w:rFonts w:cs="Times New Roman" w:ascii="Times New Roman" w:hAnsi="Times New Roman"/>
          <w:sz w:val="28"/>
          <w:szCs w:val="28"/>
          <w:lang w:val="en-US"/>
        </w:rPr>
        <w:tab/>
        <w:t xml:space="preserve">In this regard, the subject of the study is to assess the relationship between monetary aggregates, investment, and GDP in present conditions by the world economic data </w:t>
      </w:r>
      <w:r>
        <w:rPr>
          <w:rFonts w:cs="Times New Roman" w:ascii="Times New Roman" w:hAnsi="Times New Roman"/>
          <w:sz w:val="28"/>
          <w:szCs w:val="28"/>
          <w:lang w:val="en-US"/>
        </w:rPr>
        <w:t>(</w:t>
      </w:r>
      <w:r>
        <w:rPr>
          <w:rFonts w:cs="Times New Roman" w:ascii="Times New Roman" w:hAnsi="Times New Roman"/>
          <w:sz w:val="28"/>
          <w:szCs w:val="28"/>
          <w:lang w:val="en-US"/>
        </w:rPr>
        <w:t>time series</w:t>
      </w:r>
      <w:r>
        <w:rPr>
          <w:rFonts w:cs="Times New Roman" w:ascii="Times New Roman" w:hAnsi="Times New Roman"/>
          <w:sz w:val="28"/>
          <w:szCs w:val="28"/>
          <w:lang w:val="en-US"/>
        </w:rPr>
        <w:t>)</w:t>
      </w:r>
      <w:r>
        <w:rPr>
          <w:rFonts w:cs="Times New Roman" w:ascii="Times New Roman" w:hAnsi="Times New Roman"/>
          <w:sz w:val="28"/>
          <w:szCs w:val="28"/>
          <w:lang w:val="en-US"/>
        </w:rPr>
        <w:t xml:space="preserve"> analysis using mathematical statistics. The goal is to identify the elements of this relationship and describe their differences for various economies at the current stage of world development.</w:t>
      </w:r>
    </w:p>
    <w:p>
      <w:pPr>
        <w:pStyle w:val="TextBody"/>
        <w:spacing w:before="0" w:after="0"/>
        <w:jc w:val="both"/>
        <w:rPr>
          <w:lang w:val="en-US"/>
        </w:rPr>
      </w:pPr>
      <w:r>
        <w:rPr>
          <w:rFonts w:cs="Times New Roman" w:ascii="Times New Roman" w:hAnsi="Times New Roman"/>
          <w:sz w:val="28"/>
          <w:szCs w:val="28"/>
          <w:lang w:val="en-US"/>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were used in this part. After discussing the results the paper contains the conclusions and suggests the directions for further research.</w:t>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sz w:val="28"/>
          <w:szCs w:val="28"/>
          <w:lang w:val="en-US"/>
        </w:rPr>
        <w:t>Review</w:t>
      </w:r>
    </w:p>
    <w:p>
      <w:pPr>
        <w:pStyle w:val="TextBody"/>
        <w:spacing w:before="0" w:after="0"/>
        <w:jc w:val="both"/>
        <w:rPr>
          <w:lang w:val="en-US"/>
        </w:rPr>
      </w:pPr>
      <w:r>
        <w:rPr>
          <w:rFonts w:cs="Times New Roman" w:ascii="Times New Roman" w:hAnsi="Times New Roman"/>
          <w:sz w:val="28"/>
          <w:szCs w:val="28"/>
          <w:lang w:val="en-US"/>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pPr>
        <w:pStyle w:val="TextBody"/>
        <w:spacing w:before="0" w:after="0"/>
        <w:jc w:val="both"/>
        <w:rPr>
          <w:lang w:val="en-US"/>
        </w:rPr>
      </w:pPr>
      <w:r>
        <w:rPr>
          <w:rFonts w:cs="Times New Roman" w:ascii="Times New Roman" w:hAnsi="Times New Roman"/>
          <w:sz w:val="28"/>
          <w:szCs w:val="28"/>
          <w:lang w:val="en-US"/>
        </w:rPr>
        <w:tab/>
        <w:t xml:space="preserve">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w:t>
      </w:r>
      <w:r>
        <w:rPr>
          <w:rFonts w:eastAsia="Arial Unicode MS" w:cs="Times New Roman" w:ascii="Times New Roman" w:hAnsi="Times New Roman"/>
          <w:strike w:val="false"/>
          <w:dstrike w:val="false"/>
          <w:color w:val="000000"/>
          <w:sz w:val="28"/>
          <w:szCs w:val="28"/>
          <w:lang w:val="en-US" w:eastAsia="uk-UA"/>
        </w:rPr>
        <w:t xml:space="preserve">Negative </w:t>
      </w:r>
      <w:r>
        <w:rPr>
          <w:rFonts w:cs="Times New Roman" w:ascii="Times New Roman" w:hAnsi="Times New Roman"/>
          <w:strike w:val="false"/>
          <w:dstrike w:val="false"/>
          <w:sz w:val="28"/>
          <w:szCs w:val="28"/>
          <w:lang w:val="en-US"/>
        </w:rPr>
        <w:t>dyn</w:t>
      </w:r>
      <w:r>
        <w:rPr>
          <w:rFonts w:cs="Times New Roman" w:ascii="Times New Roman" w:hAnsi="Times New Roman"/>
          <w:sz w:val="28"/>
          <w:szCs w:val="28"/>
          <w:lang w:val="en-US"/>
        </w:rPr>
        <w:t>amics of GDP may happen as a result.</w:t>
      </w:r>
    </w:p>
    <w:p>
      <w:pPr>
        <w:pStyle w:val="TextBody"/>
        <w:spacing w:before="0" w:after="0"/>
        <w:jc w:val="both"/>
        <w:rPr>
          <w:lang w:val="en-US"/>
        </w:rPr>
      </w:pPr>
      <w:r>
        <w:rPr>
          <w:rFonts w:cs="Times New Roman" w:ascii="Times New Roman" w:hAnsi="Times New Roman"/>
          <w:sz w:val="28"/>
          <w:szCs w:val="28"/>
          <w:lang w:val="en-US"/>
        </w:rPr>
        <w:tab/>
        <w:t xml:space="preserve">It seems that the containment of emissions and the "sterilization" of the money supply should curb inflation and promote GDP growth. But the balance between surplus and scarcity is very delicate. An </w:t>
      </w:r>
      <w:r>
        <w:rPr>
          <w:rFonts w:cs="Times New Roman" w:ascii="Times New Roman" w:hAnsi="Times New Roman"/>
          <w:strike/>
          <w:sz w:val="28"/>
          <w:szCs w:val="28"/>
          <w:lang w:val="en-US"/>
        </w:rPr>
        <w:t>easily accessible</w:t>
      </w:r>
      <w:r>
        <w:rPr>
          <w:rFonts w:cs="Times New Roman" w:ascii="Times New Roman" w:hAnsi="Times New Roman"/>
          <w:sz w:val="28"/>
          <w:szCs w:val="28"/>
          <w:lang w:val="en-US"/>
        </w:rPr>
        <w:t xml:space="preserve"> lack of money supply causes no less painful consequences, than </w:t>
      </w:r>
      <w:r>
        <w:rPr>
          <w:rFonts w:cs="Times New Roman" w:ascii="Times New Roman" w:hAnsi="Times New Roman"/>
          <w:strike/>
          <w:sz w:val="28"/>
          <w:szCs w:val="28"/>
          <w:lang w:val="en-US"/>
        </w:rPr>
        <w:t>the</w:t>
      </w:r>
      <w:r>
        <w:rPr>
          <w:rFonts w:cs="Times New Roman" w:ascii="Times New Roman" w:hAnsi="Times New Roman"/>
          <w:sz w:val="28"/>
          <w:szCs w:val="28"/>
          <w:lang w:val="en-US"/>
        </w:rPr>
        <w:t xml:space="preserve"> money excess. This issue will be discussed in more detail below. For now, it suffices to mention that the presence of slight inflation driven by the growth of monetary aggregates is </w:t>
      </w:r>
      <w:r>
        <w:rPr>
          <w:rFonts w:cs="Times New Roman" w:ascii="Times New Roman" w:hAnsi="Times New Roman"/>
          <w:strike/>
          <w:sz w:val="28"/>
          <w:szCs w:val="28"/>
          <w:lang w:val="en-US"/>
        </w:rPr>
        <w:t>considered to be</w:t>
      </w:r>
      <w:r>
        <w:rPr>
          <w:rFonts w:cs="Times New Roman" w:ascii="Times New Roman" w:hAnsi="Times New Roman"/>
          <w:sz w:val="28"/>
          <w:szCs w:val="28"/>
          <w:lang w:val="en-US"/>
        </w:rPr>
        <w:t xml:space="preserve"> beneficial for the economy [3], and under certain conditions, a negative non-linear relationship between inflation and unemployment can be observed [4].</w:t>
      </w:r>
    </w:p>
    <w:p>
      <w:pPr>
        <w:pStyle w:val="TextBody"/>
        <w:spacing w:before="0" w:after="0"/>
        <w:jc w:val="both"/>
        <w:rPr>
          <w:lang w:val="en-US"/>
        </w:rPr>
      </w:pPr>
      <w:r>
        <w:rPr>
          <w:rFonts w:cs="Times New Roman" w:ascii="Times New Roman" w:hAnsi="Times New Roman"/>
          <w:sz w:val="28"/>
          <w:szCs w:val="28"/>
          <w:lang w:val="en-US"/>
        </w:rPr>
        <w:tab/>
        <w:t>Since interdependencies between GDP and other macroeconomic factors are complex, economic policy uses many levers of control simultaneously. In addition to GDP growth, they are moderate inflation, control of unemployment, limiting the budget defi</w:t>
      </w:r>
      <w:r>
        <w:rPr>
          <w:rFonts w:cs="Times New Roman" w:ascii="Times New Roman" w:hAnsi="Times New Roman"/>
          <w:strike w:val="false"/>
          <w:dstrike w:val="false"/>
          <w:sz w:val="28"/>
          <w:szCs w:val="28"/>
          <w:lang w:val="en-US"/>
        </w:rPr>
        <w:t>cit a</w:t>
      </w:r>
      <w:r>
        <w:rPr>
          <w:rFonts w:cs="Times New Roman" w:ascii="Times New Roman" w:hAnsi="Times New Roman"/>
          <w:sz w:val="28"/>
          <w:szCs w:val="28"/>
          <w:lang w:val="en-US"/>
        </w:rPr>
        <w:t>nd maintaining an acceptable trade balance. The multidimensional criterion of success, which takes into account the above-mentioned factors, has been called the "magic" quadrangle. It usually demonstrates the impossibility of achieving all four goals simultaneously (Fig. 1).</w:t>
      </w:r>
    </w:p>
    <w:p>
      <w:pPr>
        <w:pStyle w:val="TextBody"/>
        <w:spacing w:before="0" w:after="0"/>
        <w:jc w:val="both"/>
        <w:rPr>
          <w:lang w:val="en-US"/>
        </w:rPr>
      </w:pPr>
      <w:r>
        <w:rPr>
          <w:rFonts w:cs="Times New Roman" w:ascii="Times New Roman" w:hAnsi="Times New Roman"/>
          <w:sz w:val="28"/>
          <w:szCs w:val="28"/>
          <w:lang w:val="en-US"/>
        </w:rPr>
        <w:tab/>
        <w:t>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5">
            <wp:simplePos x="0" y="0"/>
            <wp:positionH relativeFrom="column">
              <wp:posOffset>1139825</wp:posOffset>
            </wp:positionH>
            <wp:positionV relativeFrom="paragraph">
              <wp:posOffset>207645</wp:posOffset>
            </wp:positionV>
            <wp:extent cx="3602990" cy="2207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2990" cy="2207895"/>
                    </a:xfrm>
                    <a:prstGeom prst="rect">
                      <a:avLst/>
                    </a:prstGeom>
                  </pic:spPr>
                </pic:pic>
              </a:graphicData>
            </a:graphic>
          </wp:anchor>
        </w:drawing>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1.  «Magical» quadrangle [5].</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However, as you know, quad licet iovi, non licet bovi. The financial authorities of the other countries (Russia, China, Brazil, etc.), on the contrary, 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England, and Central Europe [7]. The external debt of individual countries like Ukraine, Turkey, India, and some others increased significantly. The monetization of these economies has declined significantly. It resulted in a natural "sterilization" of their finances.</w:t>
      </w:r>
    </w:p>
    <w:p>
      <w:pPr>
        <w:pStyle w:val="Normal"/>
        <w:ind w:firstLine="709"/>
        <w:jc w:val="both"/>
        <w:rPr>
          <w:lang w:val="en-US"/>
        </w:rPr>
      </w:pPr>
      <w:r>
        <w:rPr>
          <w:rFonts w:cs="Times New Roman" w:ascii="Times New Roman" w:hAnsi="Times New Roman"/>
          <w:sz w:val="28"/>
          <w:szCs w:val="28"/>
          <w:lang w:val="en-US"/>
        </w:rPr>
        <w:t>Regardless of its cause, "money hunger" is considered by many economists no less evil than uncontrolled inflation [8]. But despite this, people continue to believe in inflation targeting as the most useful vaccine against any economic disease. And the reason is not only the apparent simplicity of this recipe but its imposition by the world's leading financial institutions.</w:t>
      </w:r>
    </w:p>
    <w:p>
      <w:pPr>
        <w:pStyle w:val="Normal"/>
        <w:ind w:firstLine="709"/>
        <w:jc w:val="both"/>
        <w:rPr>
          <w:lang w:val="en-US"/>
        </w:rPr>
      </w:pPr>
      <w:r>
        <w:rPr>
          <w:rFonts w:cs="Times New Roman" w:ascii="Times New Roman" w:hAnsi="Times New Roman"/>
          <w:sz w:val="28"/>
          <w:szCs w:val="28"/>
          <w:lang w:val="en-US"/>
        </w:rPr>
        <w:t>Inflation targeting performed through regulating monetary aggregates and/or discount rates is considered by the economists differently. The character of their assessment largely depends on the state of the economy under study [9]. For technologically and economically developed countries with huge capital stock, such targeting may have a positive impact on GDP growth. On the contrary, for less developed countries with low capitalization or suppressed aggregate demand, statistical data proved the neutrality of the targeting policy or even its negative impact on GDP.</w:t>
      </w:r>
    </w:p>
    <w:p>
      <w:pPr>
        <w:pStyle w:val="Normal"/>
        <w:ind w:firstLine="709"/>
        <w:jc w:val="both"/>
        <w:rPr>
          <w:lang w:val="en-US"/>
        </w:rPr>
      </w:pPr>
      <w:r>
        <w:rPr>
          <w:rFonts w:cs="Times New Roman" w:ascii="Times New Roman" w:hAnsi="Times New Roman"/>
          <w:sz w:val="28"/>
          <w:szCs w:val="28"/>
          <w:lang w:val="en-US"/>
        </w:rPr>
        <w:t>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Since beyond this line, price volatility, which is difficult to control, begins [10].</w:t>
      </w:r>
    </w:p>
    <w:p>
      <w:pPr>
        <w:pStyle w:val="Normal"/>
        <w:ind w:firstLine="709"/>
        <w:jc w:val="both"/>
        <w:rPr>
          <w:lang w:val="en-US"/>
        </w:rPr>
      </w:pPr>
      <w:r>
        <w:rPr>
          <w:rFonts w:cs="Times New Roman" w:ascii="Times New Roman" w:hAnsi="Times New Roman"/>
          <w:sz w:val="28"/>
          <w:szCs w:val="28"/>
          <w:lang w:val="en-US"/>
        </w:rPr>
        <w:t>However, even if a “green corridor” is set within 4-5%, effective targeting is still difficult to implement. In particular, the macroeconomic information required for the regulator is distributed unevenly over time. Prices, production statistics, budget revenue, and the like data come to decision-making centers in different periods, which causes policy inaccuracies [11; 12]. Delays in the arrival of information lead targeting to the blind pursuit of an elusive target. And the most likely consequence of this is the excessive "sterilization" of the money supply up to the aforementioned "money hunger".</w:t>
      </w:r>
    </w:p>
    <w:p>
      <w:pPr>
        <w:pStyle w:val="Normal"/>
        <w:ind w:firstLine="709"/>
        <w:jc w:val="both"/>
        <w:rPr>
          <w:lang w:val="en-US"/>
        </w:rPr>
      </w:pPr>
      <w:r>
        <w:rPr>
          <w:rFonts w:cs="Times New Roman" w:ascii="Times New Roman" w:hAnsi="Times New Roman"/>
          <w:sz w:val="28"/>
          <w:szCs w:val="28"/>
          <w:lang w:val="en-US"/>
        </w:rPr>
        <w:t>The negative consequences of long-term compaction of monetary aggregates are numerous. Some researches show that "money hunger" is especially aggressive towards the industries with a complex technological structure, and a high share of added value [13]. As a result, the first consequence of money's "evaporation" from the economy is the primitivization of its structure, which is obviously the case in Ukraine.</w:t>
      </w:r>
    </w:p>
    <w:p>
      <w:pPr>
        <w:pStyle w:val="Normal"/>
        <w:ind w:firstLine="709"/>
        <w:jc w:val="both"/>
        <w:rPr>
          <w:lang w:val="en-US"/>
        </w:rPr>
      </w:pPr>
      <w:r>
        <w:rPr>
          <w:rFonts w:cs="Times New Roman" w:ascii="Times New Roman" w:hAnsi="Times New Roman"/>
          <w:sz w:val="28"/>
          <w:szCs w:val="28"/>
          <w:lang w:val="en-US"/>
        </w:rPr>
        <w:t xml:space="preserve">The monetary deficit also leads to a simplification of the structure of households consumption. The savings, and as a result, investments are going down. Investment strategies also </w:t>
      </w:r>
      <w:r>
        <w:rPr>
          <w:rFonts w:eastAsia="Arial Unicode MS" w:cs="Times New Roman" w:ascii="Times New Roman" w:hAnsi="Times New Roman"/>
          <w:color w:val="000000"/>
          <w:kern w:val="0"/>
          <w:sz w:val="28"/>
          <w:szCs w:val="28"/>
          <w:lang w:val="en-US" w:eastAsia="uk-UA" w:bidi="ar-SA"/>
        </w:rPr>
        <w:t>boil down</w:t>
      </w:r>
      <w:r>
        <w:rPr>
          <w:rFonts w:cs="Times New Roman" w:ascii="Times New Roman" w:hAnsi="Times New Roman"/>
          <w:sz w:val="28"/>
          <w:szCs w:val="28"/>
          <w:lang w:val="en-US"/>
        </w:rPr>
        <w:t xml:space="preserve"> to the minimum need for survival, ignoring innovative, high-tech, and, especially, venture capital assets.</w:t>
      </w:r>
    </w:p>
    <w:p>
      <w:pPr>
        <w:pStyle w:val="Normal"/>
        <w:ind w:firstLine="709"/>
        <w:jc w:val="both"/>
        <w:rPr>
          <w:lang w:val="en-US"/>
        </w:rPr>
      </w:pPr>
      <w:r>
        <w:rPr>
          <w:rFonts w:cs="Times New Roman" w:ascii="Times New Roman" w:hAnsi="Times New Roman"/>
          <w:sz w:val="28"/>
          <w:szCs w:val="28"/>
          <w:lang w:val="en-US"/>
        </w:rPr>
        <w:t>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Thus, the impact of the real money supply contraction on the decline in GDP becomes non-linear. Its influence on GDP growth is just as non-linear, but how exactly is a separate question.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eastAsia="Arial Nova Cond Light" w:cs="Times New Roman"/>
          <w:b/>
          <w:b/>
          <w:bCs/>
          <w:color w:val="002060"/>
          <w:sz w:val="28"/>
          <w:szCs w:val="28"/>
          <w:lang w:val="en-US"/>
        </w:rPr>
      </w:pPr>
      <w:r>
        <w:rPr>
          <w:rFonts w:eastAsia="Arial Nova Cond Light" w:cs="Times New Roman" w:ascii="Times New Roman" w:hAnsi="Times New Roman"/>
          <w:b/>
          <w:bCs/>
          <w:color w:val="002060"/>
          <w:sz w:val="28"/>
          <w:szCs w:val="28"/>
          <w:lang w:val="en-US"/>
        </w:rPr>
      </w:r>
    </w:p>
    <w:p>
      <w:pPr>
        <w:pStyle w:val="Heading1"/>
        <w:jc w:val="center"/>
        <w:rPr>
          <w:lang w:val="en-US"/>
        </w:rPr>
      </w:pPr>
      <w:r>
        <w:rPr>
          <w:lang w:val="en-US"/>
        </w:rPr>
        <w:t>Econometric analysis</w:t>
      </w:r>
    </w:p>
    <w:p>
      <w:pPr>
        <w:pStyle w:val="Heading1"/>
        <w:tabs>
          <w:tab w:val="left" w:pos="1736" w:leader="none"/>
          <w:tab w:val="left" w:pos="2019" w:leader="none"/>
          <w:tab w:val="left" w:pos="8869" w:leader="none"/>
        </w:tabs>
        <w:jc w:val="left"/>
        <w:rPr>
          <w:lang w:val="en-US"/>
        </w:rPr>
      </w:pPr>
      <w:r>
        <w:rPr>
          <w:b w:val="false"/>
          <w:bCs w:val="false"/>
          <w:i/>
          <w:iCs/>
          <w:lang w:val="en-US"/>
        </w:rPr>
        <w:t xml:space="preserve">          </w:t>
      </w:r>
      <w:r>
        <w:rPr>
          <w:b w:val="false"/>
          <w:bCs w:val="false"/>
          <w:i/>
          <w:iCs/>
          <w:lang w:val="en-US"/>
        </w:rPr>
        <w:t>Problem formulation</w:t>
      </w:r>
    </w:p>
    <w:p>
      <w:pPr>
        <w:pStyle w:val="Normal"/>
        <w:jc w:val="both"/>
        <w:rPr>
          <w:lang w:val="en-US"/>
        </w:rPr>
      </w:pPr>
      <w:r>
        <w:rPr>
          <w:rFonts w:cs="Times New Roman" w:ascii="Times New Roman" w:hAnsi="Times New Roman"/>
          <w:sz w:val="28"/>
          <w:szCs w:val="28"/>
          <w:lang w:val="en-US"/>
        </w:rPr>
        <w:tab/>
        <w:t>S. Blinov (2016) [13, p.9] describes the reasons why GDP growth requires not just recovery but an outstripping growth of the money supply. According to the author, "linear growth of real GDP requires exponential growth of real money supply." Among the reasons for this phenomenon is the structural complexity of the economy. It means that an increase in the growth of the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pPr>
        <w:pStyle w:val="Normal"/>
        <w:jc w:val="both"/>
        <w:rPr>
          <w:lang w:val="en-US"/>
        </w:rPr>
      </w:pPr>
      <w:r>
        <w:rPr>
          <w:rFonts w:cs="Times New Roman" w:ascii="Times New Roman" w:hAnsi="Times New Roman"/>
          <w:sz w:val="28"/>
          <w:szCs w:val="28"/>
          <w:lang w:val="en-US"/>
        </w:rPr>
        <w:tab/>
        <w:t>This somewhat simplified logic ignores the factor of technological development and the life cycle of technologies. Which is of strong importance in the time of the 4th Industrial Revolution. Not only an increase in the money supply and aggregate demand can secure the growth of breakthrough technologies. That is especially the truth for the microchips industry, which is the base of the modern digital economy. The microchips industry's development requires many other conditions and actions that go beyond the scope of the actual monetary policy.</w:t>
      </w:r>
    </w:p>
    <w:p>
      <w:pPr>
        <w:pStyle w:val="Normal"/>
        <w:jc w:val="both"/>
        <w:rPr>
          <w:lang w:val="en-US"/>
        </w:rPr>
      </w:pPr>
      <w:r>
        <w:rPr>
          <w:rFonts w:cs="Times New Roman" w:ascii="Times New Roman" w:hAnsi="Times New Roman"/>
          <w:sz w:val="28"/>
          <w:szCs w:val="28"/>
          <w:lang w:val="en-US"/>
        </w:rPr>
        <w:tab/>
        <w:t>Nevertheless, under certain conditions, the effects mentioned in [13] can take place. If we consider the state of the Ukrainian economy against the background of the problems discussed, we can get a good illustration of what has been said.</w:t>
      </w:r>
    </w:p>
    <w:p>
      <w:pPr>
        <w:pStyle w:val="Normal"/>
        <w:jc w:val="both"/>
        <w:rPr>
          <w:lang w:val="en-US"/>
        </w:rPr>
      </w:pPr>
      <w:r>
        <w:rPr>
          <w:rFonts w:cs="Times New Roman" w:ascii="Times New Roman" w:hAnsi="Times New Roman"/>
          <w:sz w:val="28"/>
          <w:szCs w:val="28"/>
          <w:lang w:val="en-US"/>
        </w:rPr>
        <w:tab/>
        <w:t xml:space="preserve">The trend of the monetary aggregate M2 of Ukraine is shown in the chart below (Fig. </w:t>
      </w:r>
      <w:r>
        <w:rPr>
          <w:rFonts w:cs="Times New Roman" w:ascii="Times New Roman" w:hAnsi="Times New Roman"/>
          <w:sz w:val="28"/>
          <w:szCs w:val="28"/>
          <w:lang w:val="en-US"/>
        </w:rPr>
        <w:t>2</w:t>
      </w:r>
      <w:r>
        <w:rPr>
          <w:rFonts w:cs="Times New Roman" w:ascii="Times New Roman" w:hAnsi="Times New Roman"/>
          <w:sz w:val="28"/>
          <w:szCs w:val="28"/>
          <w:lang w:val="en-US"/>
        </w:rPr>
        <w:t xml:space="preserve">) [14]. Fig. </w:t>
      </w:r>
      <w:r>
        <w:rPr>
          <w:rFonts w:cs="Times New Roman" w:ascii="Times New Roman" w:hAnsi="Times New Roman"/>
          <w:sz w:val="28"/>
          <w:szCs w:val="28"/>
          <w:lang w:val="en-US"/>
        </w:rPr>
        <w:t>3</w:t>
      </w:r>
      <w:r>
        <w:rPr>
          <w:rFonts w:cs="Times New Roman" w:ascii="Times New Roman" w:hAnsi="Times New Roman"/>
          <w:sz w:val="28"/>
          <w:szCs w:val="28"/>
          <w:lang w:val="en-US"/>
        </w:rPr>
        <w:t xml:space="preserve"> also shows an increase in the inflation rates and prices for construction work, which illustrates the inflation of investment opportunities [15].</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14">
            <wp:simplePos x="0" y="0"/>
            <wp:positionH relativeFrom="column">
              <wp:posOffset>-3810</wp:posOffset>
            </wp:positionH>
            <wp:positionV relativeFrom="paragraph">
              <wp:posOffset>377190</wp:posOffset>
            </wp:positionV>
            <wp:extent cx="2857500" cy="189928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2857500" cy="189928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3129915</wp:posOffset>
            </wp:positionH>
            <wp:positionV relativeFrom="paragraph">
              <wp:posOffset>205740</wp:posOffset>
            </wp:positionV>
            <wp:extent cx="2771775" cy="223837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2771775" cy="2238375"/>
                    </a:xfrm>
                    <a:prstGeom prst="rect">
                      <a:avLst/>
                    </a:prstGeom>
                  </pic:spPr>
                </pic:pic>
              </a:graphicData>
            </a:graphic>
          </wp:anchor>
        </w:drawing>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mc:AlternateContent>
          <mc:Choice Requires="wps">
            <w:drawing>
              <wp:anchor behindDoc="0" distT="0" distB="0" distL="0" distR="0" simplePos="0" locked="0" layoutInCell="0" allowOverlap="1" relativeHeight="9" wp14:anchorId="0B15CFD1">
                <wp:simplePos x="0" y="0"/>
                <wp:positionH relativeFrom="column">
                  <wp:posOffset>3253740</wp:posOffset>
                </wp:positionH>
                <wp:positionV relativeFrom="paragraph">
                  <wp:posOffset>125730</wp:posOffset>
                </wp:positionV>
                <wp:extent cx="2947035" cy="495935"/>
                <wp:effectExtent l="0" t="0" r="0" b="0"/>
                <wp:wrapNone/>
                <wp:docPr id="4" name="Text Frame 4"/>
                <a:graphic xmlns:a="http://schemas.openxmlformats.org/drawingml/2006/main">
                  <a:graphicData uri="http://schemas.microsoft.com/office/word/2010/wordprocessingShape">
                    <wps:wsp>
                      <wps:cNvSpPr/>
                      <wps:spPr>
                        <a:xfrm>
                          <a:off x="0" y="0"/>
                          <a:ext cx="2946240" cy="495360"/>
                        </a:xfrm>
                        <a:prstGeom prst="rect">
                          <a:avLst/>
                        </a:prstGeom>
                        <a:noFill/>
                        <a:ln w="0">
                          <a:noFill/>
                        </a:ln>
                      </wps:spPr>
                      <wps:style>
                        <a:lnRef idx="0"/>
                        <a:fillRef idx="0"/>
                        <a:effectRef idx="0"/>
                        <a:fontRef idx="minor"/>
                      </wps:style>
                      <wps:txb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w:t>
                            </w:r>
                            <w:r>
                              <w:rPr>
                                <w:rFonts w:eastAsia="Arial Unicode MS" w:cs="Times New Roman" w:ascii="Times New Roman" w:hAnsi="Times New Roman"/>
                                <w:color w:val="000000"/>
                                <w:sz w:val="28"/>
                                <w:szCs w:val="28"/>
                                <w:lang w:eastAsia="uk-UA"/>
                              </w:rPr>
                              <w:t>3</w:t>
                            </w:r>
                            <w:r>
                              <w:rPr>
                                <w:rFonts w:eastAsia="Arial Unicode MS" w:cs="Times New Roman" w:ascii="Times New Roman" w:hAnsi="Times New Roman"/>
                                <w:color w:val="000000"/>
                                <w:sz w:val="28"/>
                                <w:szCs w:val="28"/>
                                <w:lang w:eastAsia="uk-UA"/>
                              </w:rPr>
                              <w:t>. Inflation rates and  construction works price indexes</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56.2pt;margin-top:9.9pt;width:231.95pt;height:38.95pt;mso-wrap-style:square;v-text-anchor:top" wp14:anchorId="0B15CFD1">
                <v:fill o:detectmouseclick="t" on="false"/>
                <v:stroke color="#3465a4" joinstyle="round" endcap="flat"/>
                <v:textbo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w:t>
                      </w:r>
                      <w:r>
                        <w:rPr>
                          <w:rFonts w:eastAsia="Arial Unicode MS" w:cs="Times New Roman" w:ascii="Times New Roman" w:hAnsi="Times New Roman"/>
                          <w:color w:val="000000"/>
                          <w:sz w:val="28"/>
                          <w:szCs w:val="28"/>
                          <w:lang w:eastAsia="uk-UA"/>
                        </w:rPr>
                        <w:t>3</w:t>
                      </w:r>
                      <w:r>
                        <w:rPr>
                          <w:rFonts w:eastAsia="Arial Unicode MS" w:cs="Times New Roman" w:ascii="Times New Roman" w:hAnsi="Times New Roman"/>
                          <w:color w:val="000000"/>
                          <w:sz w:val="28"/>
                          <w:szCs w:val="28"/>
                          <w:lang w:eastAsia="uk-UA"/>
                        </w:rPr>
                        <w:t>. Inflation rates and  construction works price indexes</w:t>
                      </w:r>
                    </w:p>
                  </w:txbxContent>
                </v:textbox>
                <w10:wrap type="none"/>
              </v:rect>
            </w:pict>
          </mc:Fallback>
        </mc:AlternateContent>
        <mc:AlternateContent>
          <mc:Choice Requires="wps">
            <w:drawing>
              <wp:anchor behindDoc="0" distT="0" distB="0" distL="0" distR="0" simplePos="0" locked="0" layoutInCell="0" allowOverlap="1" relativeHeight="11" wp14:anchorId="3FF8EE0A">
                <wp:simplePos x="0" y="0"/>
                <wp:positionH relativeFrom="column">
                  <wp:posOffset>81915</wp:posOffset>
                </wp:positionH>
                <wp:positionV relativeFrom="paragraph">
                  <wp:posOffset>144780</wp:posOffset>
                </wp:positionV>
                <wp:extent cx="2947035" cy="475615"/>
                <wp:effectExtent l="0" t="0" r="0" b="0"/>
                <wp:wrapNone/>
                <wp:docPr id="6" name="Text Frame 5"/>
                <a:graphic xmlns:a="http://schemas.openxmlformats.org/drawingml/2006/main">
                  <a:graphicData uri="http://schemas.microsoft.com/office/word/2010/wordprocessingShape">
                    <wps:wsp>
                      <wps:cNvSpPr/>
                      <wps:spPr>
                        <a:xfrm>
                          <a:off x="0" y="0"/>
                          <a:ext cx="2946240" cy="474840"/>
                        </a:xfrm>
                        <a:prstGeom prst="rect">
                          <a:avLst/>
                        </a:prstGeom>
                        <a:noFill/>
                        <a:ln w="0">
                          <a:noFill/>
                        </a:ln>
                      </wps:spPr>
                      <wps:style>
                        <a:lnRef idx="0"/>
                        <a:fillRef idx="0"/>
                        <a:effectRef idx="0"/>
                        <a:fontRef idx="minor"/>
                      </wps:style>
                      <wps:txb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w:t>
                            </w:r>
                            <w:r>
                              <w:rPr>
                                <w:rFonts w:eastAsia="Arial Unicode MS" w:cs="Times New Roman" w:ascii="Times New Roman" w:hAnsi="Times New Roman"/>
                                <w:color w:val="000000"/>
                                <w:sz w:val="28"/>
                                <w:szCs w:val="28"/>
                                <w:lang w:eastAsia="uk-UA"/>
                              </w:rPr>
                              <w:t>2</w:t>
                            </w:r>
                            <w:r>
                              <w:rPr>
                                <w:rFonts w:eastAsia="Arial Unicode MS" w:cs="Times New Roman" w:ascii="Times New Roman" w:hAnsi="Times New Roman"/>
                                <w:color w:val="000000"/>
                                <w:sz w:val="28"/>
                                <w:szCs w:val="28"/>
                                <w:lang w:eastAsia="uk-UA"/>
                              </w:rPr>
                              <w:t xml:space="preserve">.  M2, Ukraine, </w:t>
                            </w:r>
                            <w:r>
                              <w:rPr>
                                <w:rStyle w:val="Emphasis"/>
                                <w:rFonts w:eastAsia="Arial Unicode MS" w:cs="Times New Roman" w:ascii="Times New Roman" w:hAnsi="Times New Roman"/>
                                <w:i w:val="false"/>
                                <w:color w:val="000000"/>
                                <w:sz w:val="28"/>
                                <w:szCs w:val="28"/>
                                <w:lang w:eastAsia="uk-UA"/>
                              </w:rPr>
                              <w:t>million UAH</w:t>
                            </w:r>
                            <w:r>
                              <w:rPr>
                                <w:rFonts w:eastAsia="Arial Unicode MS" w:cs="Times New Roman" w:ascii="Times New Roman" w:hAnsi="Times New Roman"/>
                                <w:color w:val="000000"/>
                                <w:sz w:val="28"/>
                                <w:szCs w:val="28"/>
                                <w:lang w:eastAsia="uk-UA"/>
                              </w:rPr>
                              <w:t>.</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6.45pt;margin-top:11.4pt;width:231.95pt;height:37.35pt;mso-wrap-style:square;v-text-anchor:top" wp14:anchorId="3FF8EE0A">
                <v:fill o:detectmouseclick="t" on="false"/>
                <v:stroke color="#3465a4" joinstyle="round" endcap="flat"/>
                <v:textbo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w:t>
                      </w:r>
                      <w:r>
                        <w:rPr>
                          <w:rFonts w:eastAsia="Arial Unicode MS" w:cs="Times New Roman" w:ascii="Times New Roman" w:hAnsi="Times New Roman"/>
                          <w:color w:val="000000"/>
                          <w:sz w:val="28"/>
                          <w:szCs w:val="28"/>
                          <w:lang w:eastAsia="uk-UA"/>
                        </w:rPr>
                        <w:t>2</w:t>
                      </w:r>
                      <w:r>
                        <w:rPr>
                          <w:rFonts w:eastAsia="Arial Unicode MS" w:cs="Times New Roman" w:ascii="Times New Roman" w:hAnsi="Times New Roman"/>
                          <w:color w:val="000000"/>
                          <w:sz w:val="28"/>
                          <w:szCs w:val="28"/>
                          <w:lang w:eastAsia="uk-UA"/>
                        </w:rPr>
                        <w:t xml:space="preserve">.  M2, Ukraine, </w:t>
                      </w:r>
                      <w:r>
                        <w:rPr>
                          <w:rStyle w:val="Emphasis"/>
                          <w:rFonts w:eastAsia="Arial Unicode MS" w:cs="Times New Roman" w:ascii="Times New Roman" w:hAnsi="Times New Roman"/>
                          <w:i w:val="false"/>
                          <w:color w:val="000000"/>
                          <w:sz w:val="28"/>
                          <w:szCs w:val="28"/>
                          <w:lang w:eastAsia="uk-UA"/>
                        </w:rPr>
                        <w:t>million UAH</w:t>
                      </w:r>
                      <w:r>
                        <w:rPr>
                          <w:rFonts w:eastAsia="Arial Unicode MS" w:cs="Times New Roman" w:ascii="Times New Roman" w:hAnsi="Times New Roman"/>
                          <w:color w:val="000000"/>
                          <w:sz w:val="28"/>
                          <w:szCs w:val="28"/>
                          <w:lang w:eastAsia="uk-UA"/>
                        </w:rPr>
                        <w:t>.</w:t>
                      </w:r>
                    </w:p>
                  </w:txbxContent>
                </v:textbox>
                <w10:wrap type="none"/>
              </v:rect>
            </w:pict>
          </mc:Fallback>
        </mc:AlternateConten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From the illustrations above it is obvious, that the fall in the real money supply was about 10% between 2015 and 2021. Against the background of a long-term decline in real M2, its notable growth happened only in recent years (about 20% in 2020), while the inflation rate was approximately the same throughout the entire period under consideration.</w:t>
      </w:r>
    </w:p>
    <w:p>
      <w:pPr>
        <w:pStyle w:val="Normal"/>
        <w:ind w:firstLine="709"/>
        <w:jc w:val="both"/>
        <w:rPr>
          <w:lang w:val="en-US"/>
        </w:rPr>
      </w:pPr>
      <w:r>
        <w:rPr>
          <w:rFonts w:cs="Times New Roman" w:ascii="Times New Roman" w:hAnsi="Times New Roman"/>
          <w:sz w:val="28"/>
          <w:szCs w:val="28"/>
          <w:lang w:val="en-US"/>
        </w:rPr>
        <w:t>The correspondence between the money supply and the productivity of the economy is usually measured by the monetization coefficient [16]: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right"/>
        <w:rPr>
          <w:lang w:val="en-US"/>
        </w:rPr>
      </w:pPr>
      <w:r>
        <w:rPr>
          <w:rFonts w:cs="Times New Roman" w:ascii="Times New Roman" w:hAnsi="Times New Roman"/>
          <w:sz w:val="28"/>
          <w:szCs w:val="28"/>
          <w:lang w:val="en-US"/>
        </w:rPr>
        <w:t xml:space="preserve">Km = М2 / GDP, </w:t>
        <w:tab/>
        <w:tab/>
        <w:tab/>
        <w:tab/>
        <w:tab/>
        <w:tab/>
        <w:t>(1)</w:t>
      </w:r>
    </w:p>
    <w:p>
      <w:pPr>
        <w:pStyle w:val="Normal"/>
        <w:jc w:val="both"/>
        <w:rPr>
          <w:lang w:val="en-US"/>
        </w:rPr>
      </w:pPr>
      <w:r>
        <w:rPr>
          <w:rFonts w:cs="Times New Roman" w:ascii="Times New Roman" w:hAnsi="Times New Roman"/>
          <w:sz w:val="28"/>
          <w:szCs w:val="28"/>
          <w:lang w:val="en-US"/>
        </w:rPr>
        <w:t>where: M2 –   monetary supply aggregate;</w:t>
      </w:r>
    </w:p>
    <w:p>
      <w:pPr>
        <w:pStyle w:val="Normal"/>
        <w:jc w:val="both"/>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GDP – gross domestic product.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Following the formula (1), monetization coefficients have been calculated for Ukrainian and several foreign economies. The results are shown in Table. 2.</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right"/>
        <w:rPr>
          <w:lang w:val="en-US"/>
        </w:rPr>
      </w:pPr>
      <w:r>
        <w:rPr>
          <w:rFonts w:cs="Times New Roman" w:ascii="Times New Roman" w:hAnsi="Times New Roman"/>
          <w:sz w:val="28"/>
          <w:szCs w:val="28"/>
          <w:lang w:val="en-US"/>
        </w:rPr>
        <w:t>Table 2.</w:t>
      </w:r>
    </w:p>
    <w:p>
      <w:pPr>
        <w:pStyle w:val="Normal"/>
        <w:ind w:firstLine="709"/>
        <w:jc w:val="center"/>
        <w:rPr>
          <w:lang w:val="en-US"/>
        </w:rPr>
      </w:pPr>
      <w:r>
        <w:rPr>
          <w:rFonts w:cs="Times New Roman" w:ascii="Times New Roman" w:hAnsi="Times New Roman"/>
          <w:sz w:val="28"/>
          <w:szCs w:val="28"/>
          <w:lang w:val="en-US"/>
        </w:rPr>
        <w:t>Global monetization coefficients, 2020</w:t>
      </w:r>
    </w:p>
    <w:tbl>
      <w:tblPr>
        <w:tblW w:w="9636" w:type="dxa"/>
        <w:jc w:val="left"/>
        <w:tblInd w:w="57" w:type="dxa"/>
        <w:tblLayout w:type="fixed"/>
        <w:tblCellMar>
          <w:top w:w="55" w:type="dxa"/>
          <w:left w:w="55" w:type="dxa"/>
          <w:bottom w:w="55" w:type="dxa"/>
          <w:right w:w="55" w:type="dxa"/>
        </w:tblCellMar>
        <w:tblLook w:val="04a0" w:noVBand="1" w:noHBand="0" w:lastColumn="0" w:firstColumn="1" w:lastRow="0" w:firstRow="1"/>
      </w:tblPr>
      <w:tblGrid>
        <w:gridCol w:w="1376"/>
        <w:gridCol w:w="1377"/>
        <w:gridCol w:w="1376"/>
        <w:gridCol w:w="1377"/>
        <w:gridCol w:w="1377"/>
        <w:gridCol w:w="1376"/>
        <w:gridCol w:w="1376"/>
      </w:tblGrid>
      <w:tr>
        <w:trPr/>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Ukraine</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Russia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Japan</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India</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China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USA</w:t>
            </w:r>
          </w:p>
        </w:tc>
        <w:tc>
          <w:tcPr>
            <w:tcW w:w="1376"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Brazil</w:t>
            </w:r>
          </w:p>
        </w:tc>
      </w:tr>
      <w:tr>
        <w:trPr/>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43%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60%</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258%</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73%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205%</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95%</w:t>
            </w:r>
          </w:p>
        </w:tc>
        <w:tc>
          <w:tcPr>
            <w:tcW w:w="1376"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96%</w:t>
            </w:r>
          </w:p>
        </w:tc>
      </w:tr>
    </w:tbl>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ind w:firstLine="709"/>
        <w:jc w:val="both"/>
        <w:rPr>
          <w:lang w:val="en-US"/>
        </w:rPr>
      </w:pPr>
      <w:r>
        <w:rPr>
          <w:rFonts w:cs="Times New Roman" w:ascii="Times New Roman" w:hAnsi="Times New Roman"/>
          <w:color w:val="0E101A"/>
          <w:sz w:val="28"/>
          <w:szCs w:val="28"/>
          <w:lang w:val="en-US"/>
        </w:rPr>
        <w:t>It is worth mentioning, that the GDP boosting by expanding the money supply is a task far from having a simple solution for a particular economy. It is obvious that the monetization of the Ukrainian economy is insufficient for long-term and productive economic growth. Even more, for the increasing complexity of the domestic economy. But the question remains, what coefficient might be considered sufficient?</w:t>
      </w:r>
    </w:p>
    <w:p>
      <w:pPr>
        <w:pStyle w:val="TextBody"/>
        <w:ind w:firstLine="709"/>
        <w:jc w:val="both"/>
        <w:rPr>
          <w:lang w:val="en-US"/>
        </w:rPr>
      </w:pPr>
      <w:r>
        <w:rPr>
          <w:rFonts w:cs="Times New Roman" w:ascii="Times New Roman" w:hAnsi="Times New Roman"/>
          <w:color w:val="0E101A"/>
          <w:sz w:val="28"/>
          <w:szCs w:val="28"/>
          <w:lang w:val="en-US"/>
        </w:rPr>
        <w:t>Take Japan and China, for example, where monetization coefficients are 258% and 205%, respectively. Both of these countries do not have a liquidity crisis. However, it is only China where the cash flow turns the “millstones” of economic growth. In Japan, the problems, piled up in economy and finance during the “lost decade” [17],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[18].</w:t>
      </w:r>
    </w:p>
    <w:p>
      <w:pPr>
        <w:pStyle w:val="TextBody"/>
        <w:ind w:firstLine="709"/>
        <w:jc w:val="both"/>
        <w:rPr>
          <w:lang w:val="en-US"/>
        </w:rPr>
      </w:pPr>
      <w:r>
        <w:rPr>
          <w:rFonts w:cs="Times New Roman" w:ascii="Times New Roman" w:hAnsi="Times New Roman"/>
          <w:color w:val="0E101A"/>
          <w:sz w:val="28"/>
          <w:szCs w:val="28"/>
          <w:lang w:val="en-US"/>
        </w:rPr>
        <w:t>To what extent should monetary aggregates be built up without excessive inflation? F. Kartaev, says that the level of harmless inflation can be "a little more than 10% for developing economies" [19]. Then, he insists that inflation must be kept substantially lower even for such countries. The author favors inflation targeting over money supply expansion, insisting that the long-term impact on GDP growth from the first is more robust than from the second. Thus, the opinions of F.Kartaev and S.Blinov are opposed.</w:t>
      </w:r>
    </w:p>
    <w:p>
      <w:pPr>
        <w:pStyle w:val="TextBody"/>
        <w:ind w:firstLine="709"/>
        <w:jc w:val="both"/>
        <w:rPr>
          <w:lang w:val="en-US"/>
        </w:rPr>
      </w:pPr>
      <w:r>
        <w:rPr>
          <w:rFonts w:cs="Times New Roman" w:ascii="Times New Roman" w:hAnsi="Times New Roman"/>
          <w:color w:val="0E101A"/>
          <w:sz w:val="28"/>
          <w:szCs w:val="28"/>
          <w:lang w:val="en-US"/>
        </w:rPr>
        <w:t>Some authors study the differences in monetary policy and its impact on inflation and GDP growth for countries with distinct economic or socio-cultural conditions. F. Kartaev explores the countries with different ethnolinguistic diversity [20]. O. Klochkova analyzes inflation in countries with different levels of economic freedom [21]. However, these studies do not provide any universal conclusions.</w:t>
      </w:r>
    </w:p>
    <w:p>
      <w:pPr>
        <w:pStyle w:val="TextBody"/>
        <w:spacing w:before="0" w:after="0"/>
        <w:jc w:val="both"/>
        <w:rPr>
          <w:lang w:val="en-US"/>
        </w:rPr>
      </w:pPr>
      <w:r>
        <w:rPr>
          <w:rFonts w:cs="Times New Roman" w:ascii="Times New Roman" w:hAnsi="Times New Roman"/>
          <w:color w:val="0E101A"/>
          <w:sz w:val="28"/>
          <w:szCs w:val="28"/>
          <w:lang w:val="en-US"/>
        </w:rPr>
        <w:tab/>
        <w:t>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[22]. Its results are shown and explained below.</w:t>
      </w:r>
    </w:p>
    <w:p>
      <w:pPr>
        <w:pStyle w:val="Normal"/>
        <w:ind w:firstLine="709"/>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2"/>
        <w:ind w:hanging="0"/>
        <w:rPr>
          <w:lang w:val="en-US"/>
        </w:rPr>
      </w:pPr>
      <w:r>
        <w:rPr>
          <w:lang w:val="en-US"/>
        </w:rPr>
        <w:t xml:space="preserve">Analysis of relationship between the real money supply and investment </w:t>
      </w:r>
    </w:p>
    <w:p>
      <w:pPr>
        <w:pStyle w:val="Normal"/>
        <w:jc w:val="both"/>
        <w:rPr>
          <w:lang w:val="en-US"/>
        </w:rPr>
      </w:pPr>
      <w:r>
        <w:rPr>
          <w:rFonts w:cs="Times New Roman" w:ascii="Times New Roman" w:hAnsi="Times New Roman"/>
          <w:color w:val="0E101A"/>
          <w:sz w:val="28"/>
          <w:szCs w:val="28"/>
          <w:lang w:val="en-US"/>
        </w:rPr>
        <w:tab/>
        <w:t>As the information base for the study, the official statistics of the World Bank were taken (including M2 monetary aggregate, gross investment, GDP, and population for individual countries) for the period 2006–2020. The period deliberately was chosen from the year before the real-estate bubble burst to the year when the "COVID-19" crisis began. The influence of the latter one on the world economy has not yet ceased, and in certain markets, for example, electronics, it is only increasing these days [23].</w:t>
      </w:r>
    </w:p>
    <w:p>
      <w:pPr>
        <w:pStyle w:val="Normal"/>
        <w:jc w:val="both"/>
        <w:rPr>
          <w:lang w:val="en-US"/>
        </w:rPr>
      </w:pPr>
      <w:r>
        <w:rPr>
          <w:rFonts w:cs="Times New Roman" w:ascii="Times New Roman" w:hAnsi="Times New Roman"/>
          <w:color w:val="0E101A"/>
          <w:sz w:val="28"/>
          <w:szCs w:val="28"/>
          <w:lang w:val="en-US"/>
        </w:rPr>
        <w:tab/>
        <w:t xml:space="preserve">The calculations were accomplished using the statistics and machine learning library Scikit-learn [24] in Python programming language. The code and its execution results are given as an interactive notebook and are available at the following link </w:t>
      </w:r>
      <w:r>
        <w:rPr>
          <w:rFonts w:cs="Times New Roman" w:ascii="Times New Roman" w:hAnsi="Times New Roman"/>
          <w:color w:val="0E101A"/>
          <w:sz w:val="28"/>
          <w:szCs w:val="28"/>
          <w:lang w:val="en-US"/>
        </w:rPr>
        <w:t xml:space="preserve">on GitHub </w:t>
      </w:r>
      <w:r>
        <w:rPr>
          <w:rFonts w:cs="Times New Roman" w:ascii="Times New Roman" w:hAnsi="Times New Roman"/>
          <w:color w:val="0E101A"/>
          <w:sz w:val="28"/>
          <w:szCs w:val="28"/>
          <w:lang w:val="en-US"/>
        </w:rPr>
        <w:t>[25].</w:t>
      </w:r>
    </w:p>
    <w:p>
      <w:pPr>
        <w:pStyle w:val="Normal"/>
        <w:jc w:val="both"/>
        <w:rPr>
          <w:lang w:val="en-US"/>
        </w:rPr>
      </w:pPr>
      <w:r>
        <w:rPr>
          <w:rFonts w:cs="Times New Roman" w:ascii="Times New Roman" w:hAnsi="Times New Roman"/>
          <w:color w:val="0E101A"/>
          <w:sz w:val="28"/>
          <w:szCs w:val="28"/>
          <w:lang w:val="en-US"/>
        </w:rPr>
        <w:tab/>
        <w:t>By the authors cited above [10; 11; 13], 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the M2 money aggregate on gross investment was studied (to isolate the investment influence on GDP growth and examine it in its pure form).</w:t>
      </w:r>
    </w:p>
    <w:p>
      <w:pPr>
        <w:pStyle w:val="Normal"/>
        <w:jc w:val="both"/>
        <w:rPr>
          <w:lang w:val="en-US"/>
        </w:rPr>
      </w:pPr>
      <w:r>
        <w:rPr>
          <w:rFonts w:cs="Times New Roman" w:ascii="Times New Roman" w:hAnsi="Times New Roman"/>
          <w:color w:val="0E101A"/>
          <w:sz w:val="28"/>
          <w:szCs w:val="28"/>
          <w:lang w:val="en-US"/>
        </w:rPr>
        <w:tab/>
        <w:t>The relationship between the M2 money aggregate and gross investment was measured by computing the Pearson correlation coefficients [26] for all countries from the World Bank report. Then the empirical threshold for the Pearson coefficient was set at 65%. This threshold helped to separate the countries with a proven relationship between M2 and investment activity. Table 3 below shows a fragment of the top-list, sorted by the correlation strength.</w:t>
      </w:r>
    </w:p>
    <w:p>
      <w:pPr>
        <w:pStyle w:val="Normal"/>
        <w:jc w:val="both"/>
        <w:rPr>
          <w:lang w:val="en-US"/>
        </w:rPr>
      </w:pPr>
      <w:r>
        <w:rPr>
          <w:rFonts w:cs="Times New Roman" w:ascii="Times New Roman" w:hAnsi="Times New Roman"/>
          <w:color w:val="0E101A"/>
          <w:sz w:val="28"/>
          <w:szCs w:val="28"/>
          <w:lang w:val="en-US"/>
        </w:rPr>
        <w:tab/>
        <w:t xml:space="preserve">The list turned out to be quite heterogeneous. In addition to India, China, the United States, and England, it includes some countries from a completely different division, like Peru and Cambodia. However, 71% of all investigated countries showed a significant relationship between M2 and gross investment. The histogram of Pearson correlation coefficients (Fig. </w:t>
      </w:r>
      <w:r>
        <w:rPr>
          <w:rFonts w:cs="Times New Roman" w:ascii="Times New Roman" w:hAnsi="Times New Roman"/>
          <w:color w:val="0E101A"/>
          <w:sz w:val="28"/>
          <w:szCs w:val="28"/>
          <w:lang w:val="en-US"/>
        </w:rPr>
        <w:t>4</w:t>
      </w:r>
      <w:r>
        <w:rPr>
          <w:rFonts w:cs="Times New Roman" w:ascii="Times New Roman" w:hAnsi="Times New Roman"/>
          <w:color w:val="0E101A"/>
          <w:sz w:val="28"/>
          <w:szCs w:val="28"/>
          <w:lang w:val="en-US"/>
        </w:rPr>
        <w:t>) indicates that most countries naturally fall into the "core", that is, a group with the highest degree of correlation.</w:t>
      </w:r>
    </w:p>
    <w:p>
      <w:pPr>
        <w:pStyle w:val="Normal"/>
        <w:jc w:val="both"/>
        <w:rPr>
          <w:lang w:val="en-US"/>
        </w:rPr>
      </w:pPr>
      <w:r>
        <w:rPr>
          <w:rFonts w:cs="Times New Roman" w:ascii="Times New Roman" w:hAnsi="Times New Roman"/>
          <w:color w:val="0E101A"/>
          <w:sz w:val="28"/>
          <w:szCs w:val="28"/>
          <w:lang w:val="en-US"/>
        </w:rPr>
        <w:tab/>
        <w:t xml:space="preserve">And if the observation of time series for individual countries itself only displays a probable similarity in M2 and gross investment tendencies (Fig. </w:t>
      </w:r>
      <w:r>
        <w:rPr>
          <w:rFonts w:cs="Times New Roman" w:ascii="Times New Roman" w:hAnsi="Times New Roman"/>
          <w:color w:val="0E101A"/>
          <w:sz w:val="28"/>
          <w:szCs w:val="28"/>
          <w:lang w:val="en-US"/>
        </w:rPr>
        <w:t>5</w:t>
      </w:r>
      <w:r>
        <w:rPr>
          <w:rFonts w:cs="Times New Roman" w:ascii="Times New Roman" w:hAnsi="Times New Roman"/>
          <w:color w:val="0E101A"/>
          <w:sz w:val="28"/>
          <w:szCs w:val="28"/>
          <w:lang w:val="en-US"/>
        </w:rPr>
        <w:t xml:space="preserve">), then regression analysis proves the existence of a significant relationship between them. </w:t>
      </w:r>
    </w:p>
    <w:p>
      <w:pPr>
        <w:pStyle w:val="Normal"/>
        <w:tabs>
          <w:tab w:val="clear" w:pos="708"/>
          <w:tab w:val="left" w:pos="4395" w:leader="none"/>
        </w:tabs>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08"/>
          <w:tab w:val="left" w:pos="4395" w:leader="none"/>
        </w:tabs>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Table 3.</w:t>
        <w:tab/>
        <w:tab/>
        <w:tab/>
        <w:tab/>
        <w:tab/>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TOP countries by correlation </w:t>
      </w:r>
      <w:r>
        <w:drawing>
          <wp:anchor behindDoc="0" distT="0" distB="0" distL="0" distR="0" simplePos="0" locked="0" layoutInCell="0" allowOverlap="1" relativeHeight="6">
            <wp:simplePos x="0" y="0"/>
            <wp:positionH relativeFrom="column">
              <wp:posOffset>2967990</wp:posOffset>
            </wp:positionH>
            <wp:positionV relativeFrom="paragraph">
              <wp:posOffset>244475</wp:posOffset>
            </wp:positionV>
            <wp:extent cx="2938780" cy="2198370"/>
            <wp:effectExtent l="0" t="0" r="0" b="0"/>
            <wp:wrapSquare wrapText="largest"/>
            <wp:docPr id="8"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Изображение выглядит как текст, седзи&#10;&#10;Автоматически созданное описание"/>
                    <pic:cNvPicPr>
                      <a:picLocks noChangeAspect="1" noChangeArrowheads="1"/>
                    </pic:cNvPicPr>
                  </pic:nvPicPr>
                  <pic:blipFill>
                    <a:blip r:embed="rId5"/>
                    <a:stretch>
                      <a:fillRect/>
                    </a:stretch>
                  </pic:blipFill>
                  <pic:spPr bwMode="auto">
                    <a:xfrm>
                      <a:off x="0" y="0"/>
                      <a:ext cx="2938780" cy="2198370"/>
                    </a:xfrm>
                    <a:prstGeom prst="rect">
                      <a:avLst/>
                    </a:prstGeom>
                  </pic:spPr>
                </pic:pic>
              </a:graphicData>
            </a:graphic>
          </wp:anchor>
        </w:drawing>
      </w:r>
      <w:r>
        <w:rPr>
          <w:rFonts w:cs="Times New Roman" w:ascii="Times New Roman" w:hAnsi="Times New Roman"/>
          <w:sz w:val="28"/>
          <w:szCs w:val="28"/>
          <w:lang w:val="en-US"/>
        </w:rPr>
        <w:t xml:space="preserve">between </w:t>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М2 and gross investments (2020)</w:t>
      </w:r>
    </w:p>
    <w:tbl>
      <w:tblPr>
        <w:tblW w:w="4395" w:type="dxa"/>
        <w:jc w:val="left"/>
        <w:tblInd w:w="55" w:type="dxa"/>
        <w:tblLayout w:type="fixed"/>
        <w:tblCellMar>
          <w:top w:w="55" w:type="dxa"/>
          <w:left w:w="55" w:type="dxa"/>
          <w:bottom w:w="55" w:type="dxa"/>
          <w:right w:w="55" w:type="dxa"/>
        </w:tblCellMar>
        <w:tblLook w:val="04a0" w:noVBand="1" w:noHBand="0" w:lastColumn="0" w:firstColumn="1" w:lastRow="0" w:firstRow="1"/>
      </w:tblPr>
      <w:tblGrid>
        <w:gridCol w:w="1274"/>
        <w:gridCol w:w="1613"/>
        <w:gridCol w:w="1508"/>
      </w:tblGrid>
      <w:tr>
        <w:trPr/>
        <w:tc>
          <w:tcPr>
            <w:tcW w:w="1274" w:type="dxa"/>
            <w:tcBorders>
              <w:top w:val="single" w:sz="4" w:space="0" w:color="000000"/>
              <w:left w:val="single" w:sz="4" w:space="0" w:color="000000"/>
              <w:bottom w:val="single" w:sz="4" w:space="0" w:color="000000"/>
            </w:tcBorders>
          </w:tcPr>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Country</w:t>
            </w:r>
          </w:p>
        </w:tc>
        <w:tc>
          <w:tcPr>
            <w:tcW w:w="1613"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GDP per</w:t>
            </w:r>
          </w:p>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capita , USD</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0" w:name="tw-target-text12"/>
            <w:bookmarkEnd w:id="0"/>
            <w:r>
              <w:rPr>
                <w:rFonts w:eastAsia="Songti SC" w:cs="Times New Roman" w:ascii="Times New Roman" w:hAnsi="Times New Roman"/>
                <w:kern w:val="2"/>
                <w:sz w:val="24"/>
                <w:szCs w:val="24"/>
                <w:lang w:val="en-US" w:eastAsia="zh-CN" w:bidi="hi-IN"/>
              </w:rPr>
              <w:t>Kazakhstan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0,956351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26 352</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1" w:name="tw-target-text13"/>
            <w:bookmarkEnd w:id="1"/>
            <w:r>
              <w:rPr>
                <w:rFonts w:eastAsia="Songti SC" w:cs="Times New Roman" w:ascii="Times New Roman" w:hAnsi="Times New Roman"/>
                <w:kern w:val="2"/>
                <w:sz w:val="24"/>
                <w:szCs w:val="24"/>
                <w:lang w:val="en-US" w:eastAsia="zh-CN" w:bidi="hi-IN"/>
              </w:rPr>
              <w:t>Sweden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0,956661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52 850</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2" w:name="tw-target-text14"/>
            <w:bookmarkEnd w:id="2"/>
            <w:r>
              <w:rPr>
                <w:rFonts w:eastAsia="Songti SC" w:cs="Times New Roman" w:ascii="Times New Roman" w:hAnsi="Times New Roman"/>
                <w:kern w:val="2"/>
                <w:sz w:val="24"/>
                <w:szCs w:val="24"/>
                <w:lang w:val="en-US" w:eastAsia="zh-CN" w:bidi="hi-IN"/>
              </w:rPr>
              <w:t>Peru</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0,958855</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12 854</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3" w:name="tw-target-text15"/>
            <w:bookmarkEnd w:id="3"/>
            <w:r>
              <w:rPr>
                <w:rFonts w:eastAsia="Songti SC" w:cs="Times New Roman" w:ascii="Times New Roman" w:hAnsi="Times New Roman"/>
                <w:kern w:val="2"/>
                <w:sz w:val="24"/>
                <w:szCs w:val="24"/>
                <w:lang w:val="en-US" w:eastAsia="zh-CN" w:bidi="hi-IN"/>
              </w:rPr>
              <w:t>Cambodia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0,962369</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4 389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4" w:name="tw-target-text16"/>
            <w:bookmarkEnd w:id="4"/>
            <w:r>
              <w:rPr>
                <w:rFonts w:eastAsia="Songti SC" w:cs="Times New Roman" w:ascii="Times New Roman" w:hAnsi="Times New Roman"/>
                <w:kern w:val="2"/>
                <w:sz w:val="24"/>
                <w:szCs w:val="24"/>
                <w:lang w:val="en-US" w:eastAsia="zh-CN" w:bidi="hi-IN"/>
              </w:rPr>
              <w:t>Turkey</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0.963198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28 385</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5" w:name="tw-target-text17"/>
            <w:bookmarkEnd w:id="5"/>
            <w:r>
              <w:rPr>
                <w:rFonts w:eastAsia="Songti SC" w:cs="Times New Roman" w:ascii="Times New Roman" w:hAnsi="Times New Roman"/>
                <w:kern w:val="2"/>
                <w:sz w:val="24"/>
                <w:szCs w:val="24"/>
                <w:lang w:val="en-US" w:eastAsia="zh-CN" w:bidi="hi-IN"/>
              </w:rPr>
              <w:t>Kyrgyzstan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0,971727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5258</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r>
              <w:rPr>
                <w:rFonts w:eastAsia="Songti SC" w:cs="Times New Roman" w:ascii="Times New Roman" w:hAnsi="Times New Roman"/>
                <w:kern w:val="2"/>
                <w:sz w:val="24"/>
                <w:szCs w:val="24"/>
                <w:lang w:val="en-US" w:eastAsia="zh-CN" w:bidi="hi-IN"/>
              </w:rPr>
              <w:t>S.Korea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0,974348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42 719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6" w:name="tw-target-text19"/>
            <w:bookmarkEnd w:id="6"/>
            <w:r>
              <w:rPr>
                <w:rFonts w:eastAsia="Songti SC" w:cs="Times New Roman" w:ascii="Times New Roman" w:hAnsi="Times New Roman"/>
                <w:kern w:val="2"/>
                <w:sz w:val="24"/>
                <w:szCs w:val="24"/>
                <w:lang w:val="en-US" w:eastAsia="zh-CN" w:bidi="hi-IN"/>
              </w:rPr>
              <w:t>India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0,983017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6 717</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7" w:name="tw-target-text20"/>
            <w:bookmarkEnd w:id="7"/>
            <w:r>
              <w:rPr>
                <w:rFonts w:eastAsia="Songti SC" w:cs="Times New Roman" w:ascii="Times New Roman" w:hAnsi="Times New Roman"/>
                <w:kern w:val="2"/>
                <w:sz w:val="24"/>
                <w:szCs w:val="24"/>
                <w:lang w:val="en-US" w:eastAsia="zh-CN" w:bidi="hi-IN"/>
              </w:rPr>
              <w:t>China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0,992802</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16 411</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8" w:name="tw-target-text21"/>
            <w:bookmarkEnd w:id="8"/>
            <w:r>
              <w:rPr>
                <w:rFonts w:eastAsia="Songti SC" w:cs="Times New Roman" w:ascii="Times New Roman" w:hAnsi="Times New Roman"/>
                <w:kern w:val="2"/>
                <w:sz w:val="24"/>
                <w:szCs w:val="24"/>
                <w:lang w:val="en-US" w:eastAsia="zh-CN" w:bidi="hi-IN"/>
              </w:rPr>
              <w:t>USA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0,869843</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60 162</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lang w:val="en-US"/>
              </w:rPr>
            </w:pPr>
            <w:r>
              <w:rPr>
                <w:rFonts w:cs="Times New Roman" w:ascii="Times New Roman" w:hAnsi="Times New Roman"/>
                <w:color w:val="000000"/>
                <w:lang w:val="en-US"/>
              </w:rPr>
              <w:t>UK</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0,835022</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41 627</w:t>
            </w:r>
          </w:p>
        </w:tc>
      </w:tr>
    </w:tbl>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mc:AlternateContent>
          <mc:Choice Requires="wps">
            <w:drawing>
              <wp:anchor behindDoc="0" distT="0" distB="0" distL="0" distR="0" simplePos="0" locked="0" layoutInCell="0" allowOverlap="1" relativeHeight="15" wp14:anchorId="33B17985">
                <wp:simplePos x="0" y="0"/>
                <wp:positionH relativeFrom="column">
                  <wp:posOffset>2964180</wp:posOffset>
                </wp:positionH>
                <wp:positionV relativeFrom="paragraph">
                  <wp:posOffset>-918210</wp:posOffset>
                </wp:positionV>
                <wp:extent cx="2946400" cy="713740"/>
                <wp:effectExtent l="0" t="0" r="0" b="0"/>
                <wp:wrapNone/>
                <wp:docPr id="9" name="Text Frame 1"/>
                <a:graphic xmlns:a="http://schemas.openxmlformats.org/drawingml/2006/main">
                  <a:graphicData uri="http://schemas.microsoft.com/office/word/2010/wordprocessingShape">
                    <wps:wsp>
                      <wps:cNvSpPr/>
                      <wps:spPr>
                        <a:xfrm>
                          <a:off x="0" y="0"/>
                          <a:ext cx="2945880" cy="713160"/>
                        </a:xfrm>
                        <a:prstGeom prst="rect">
                          <a:avLst/>
                        </a:prstGeom>
                        <a:noFill/>
                        <a:ln w="0">
                          <a:noFill/>
                        </a:ln>
                      </wps:spPr>
                      <wps:style>
                        <a:lnRef idx="0"/>
                        <a:fillRef idx="0"/>
                        <a:effectRef idx="0"/>
                        <a:fontRef idx="minor"/>
                      </wps:style>
                      <wps:txb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w:t>
                            </w:r>
                            <w:r>
                              <w:rPr>
                                <w:rFonts w:eastAsia="Arial Unicode MS" w:cs="Times New Roman" w:ascii="Times New Roman" w:hAnsi="Times New Roman"/>
                                <w:color w:val="000000"/>
                                <w:kern w:val="0"/>
                                <w:sz w:val="28"/>
                                <w:szCs w:val="28"/>
                                <w:lang w:eastAsia="uk-UA" w:bidi="ar-SA"/>
                              </w:rPr>
                              <w:t>4</w:t>
                            </w:r>
                            <w:r>
                              <w:rPr>
                                <w:rFonts w:eastAsia="Arial Unicode MS" w:cs="Times New Roman" w:ascii="Times New Roman" w:hAnsi="Times New Roman"/>
                                <w:color w:val="000000"/>
                                <w:kern w:val="0"/>
                                <w:sz w:val="28"/>
                                <w:szCs w:val="28"/>
                                <w:lang w:eastAsia="uk-UA" w:bidi="ar-SA"/>
                              </w:rPr>
                              <w:t xml:space="preserve">. </w:t>
                            </w:r>
                            <w:bookmarkStart w:id="9" w:name="tw-target-text"/>
                            <w:bookmarkEnd w:id="9"/>
                            <w:r>
                              <w:rPr>
                                <w:rFonts w:eastAsia="Arial Unicode MS" w:cs="Times New Roman" w:ascii="Times New Roman" w:hAnsi="Times New Roman"/>
                                <w:color w:val="000000"/>
                                <w:kern w:val="0"/>
                                <w:sz w:val="28"/>
                                <w:szCs w:val="28"/>
                                <w:lang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33.4pt;margin-top:-72.3pt;width:231.9pt;height:56.1pt;mso-wrap-style:square;v-text-anchor:top" wp14:anchorId="33B17985">
                <v:fill o:detectmouseclick="t" on="false"/>
                <v:stroke color="#3465a4" joinstyle="round" endcap="flat"/>
                <v:textbo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w:t>
                      </w:r>
                      <w:r>
                        <w:rPr>
                          <w:rFonts w:eastAsia="Arial Unicode MS" w:cs="Times New Roman" w:ascii="Times New Roman" w:hAnsi="Times New Roman"/>
                          <w:color w:val="000000"/>
                          <w:kern w:val="0"/>
                          <w:sz w:val="28"/>
                          <w:szCs w:val="28"/>
                          <w:lang w:eastAsia="uk-UA" w:bidi="ar-SA"/>
                        </w:rPr>
                        <w:t>4</w:t>
                      </w:r>
                      <w:r>
                        <w:rPr>
                          <w:rFonts w:eastAsia="Arial Unicode MS" w:cs="Times New Roman" w:ascii="Times New Roman" w:hAnsi="Times New Roman"/>
                          <w:color w:val="000000"/>
                          <w:kern w:val="0"/>
                          <w:sz w:val="28"/>
                          <w:szCs w:val="28"/>
                          <w:lang w:eastAsia="uk-UA" w:bidi="ar-SA"/>
                        </w:rPr>
                        <w:t xml:space="preserve">. </w:t>
                      </w:r>
                      <w:bookmarkStart w:id="10" w:name="tw-target-text"/>
                      <w:bookmarkEnd w:id="10"/>
                      <w:r>
                        <w:rPr>
                          <w:rFonts w:eastAsia="Arial Unicode MS" w:cs="Times New Roman" w:ascii="Times New Roman" w:hAnsi="Times New Roman"/>
                          <w:color w:val="000000"/>
                          <w:kern w:val="0"/>
                          <w:sz w:val="28"/>
                          <w:szCs w:val="28"/>
                          <w:lang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v:textbox>
                <w10:wrap type="none"/>
              </v:rect>
            </w:pict>
          </mc:Fallback>
        </mc:AlternateContent>
      </w:r>
    </w:p>
    <w:p>
      <w:pPr>
        <w:pStyle w:val="Normal"/>
        <w:jc w:val="both"/>
        <w:rPr>
          <w:lang w:val="en-US"/>
        </w:rPr>
      </w:pPr>
      <w:r>
        <w:rPr>
          <w:rFonts w:cs="Times New Roman" w:ascii="Times New Roman" w:hAnsi="Times New Roman"/>
          <w:sz w:val="28"/>
          <w:szCs w:val="28"/>
          <w:lang w:val="en-US"/>
        </w:rPr>
        <w:tab/>
        <w:t xml:space="preserve">The Turkey example below illustrates this relationship, including the linear regression equation shown in Fig. </w:t>
      </w:r>
      <w:r>
        <w:rPr>
          <w:rFonts w:cs="Times New Roman" w:ascii="Times New Roman" w:hAnsi="Times New Roman"/>
          <w:sz w:val="28"/>
          <w:szCs w:val="28"/>
          <w:lang w:val="en-US"/>
        </w:rPr>
        <w:t>6</w:t>
      </w:r>
      <w:r>
        <w:rPr>
          <w:rFonts w:cs="Times New Roman" w:ascii="Times New Roman" w:hAnsi="Times New Roman"/>
          <w:sz w:val="28"/>
          <w:szCs w:val="28"/>
          <w:lang w:val="en-US"/>
        </w:rPr>
        <w:t>, (the coefficient of determination equals 71%). This judgment applies equally to all countries that have passed the determined threshold of 65% for the Pearson correlation coefficient. Thus, the relationship between the two factors is proven.</w:t>
      </w:r>
    </w:p>
    <w:p>
      <w:pPr>
        <w:pStyle w:val="Normal"/>
        <w:jc w:val="both"/>
        <w:rPr>
          <w:lang w:val="en-US"/>
        </w:rPr>
      </w:pPr>
      <w:r>
        <w:rPr>
          <w:lang w:val="en-US"/>
        </w:rPr>
        <mc:AlternateContent>
          <mc:Choice Requires="wps">
            <w:drawing>
              <wp:anchor behindDoc="0" distT="0" distB="0" distL="0" distR="0" simplePos="0" locked="0" layoutInCell="0" allowOverlap="1" relativeHeight="7" wp14:anchorId="332B2950">
                <wp:simplePos x="0" y="0"/>
                <wp:positionH relativeFrom="column">
                  <wp:posOffset>3041015</wp:posOffset>
                </wp:positionH>
                <wp:positionV relativeFrom="paragraph">
                  <wp:posOffset>2769235</wp:posOffset>
                </wp:positionV>
                <wp:extent cx="2998470" cy="794385"/>
                <wp:effectExtent l="0" t="0" r="0" b="0"/>
                <wp:wrapNone/>
                <wp:docPr id="11" name="Text Frame 3"/>
                <a:graphic xmlns:a="http://schemas.openxmlformats.org/drawingml/2006/main">
                  <a:graphicData uri="http://schemas.microsoft.com/office/word/2010/wordprocessingShape">
                    <wps:wsp>
                      <wps:cNvSpPr/>
                      <wps:spPr>
                        <a:xfrm>
                          <a:off x="0" y="0"/>
                          <a:ext cx="2997720" cy="793800"/>
                        </a:xfrm>
                        <a:prstGeom prst="rect">
                          <a:avLst/>
                        </a:prstGeom>
                        <a:noFill/>
                        <a:ln w="0">
                          <a:noFill/>
                        </a:ln>
                      </wps:spPr>
                      <wps:style>
                        <a:lnRef idx="0"/>
                        <a:fillRef idx="0"/>
                        <a:effectRef idx="0"/>
                        <a:fontRef idx="minor"/>
                      </wps:style>
                      <wps:txb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w:t>
                            </w:r>
                            <w:r>
                              <w:rPr>
                                <w:rFonts w:eastAsia="Arial Unicode MS" w:cs="Times New Roman" w:ascii="Times New Roman" w:hAnsi="Times New Roman"/>
                                <w:color w:val="000000"/>
                                <w:sz w:val="28"/>
                                <w:szCs w:val="28"/>
                                <w:lang w:eastAsia="uk-UA"/>
                              </w:rPr>
                              <w:t>6</w:t>
                            </w:r>
                            <w:r>
                              <w:rPr>
                                <w:rFonts w:eastAsia="Arial Unicode MS" w:cs="Times New Roman" w:ascii="Times New Roman" w:hAnsi="Times New Roman"/>
                                <w:color w:val="000000"/>
                                <w:sz w:val="28"/>
                                <w:szCs w:val="28"/>
                                <w:lang w:eastAsia="uk-UA"/>
                              </w:rPr>
                              <w:t xml:space="preserve">. M2 and gross investment </w:t>
                            </w:r>
                          </w:p>
                          <w:p>
                            <w:pPr>
                              <w:pStyle w:val="FrameContents"/>
                              <w:spacing w:lineRule="auto" w:line="276"/>
                              <w:rPr/>
                            </w:pPr>
                            <w:r>
                              <w:rPr>
                                <w:rFonts w:eastAsia="Arial Unicode MS" w:cs="Times New Roman" w:ascii="Times New Roman" w:hAnsi="Times New Roman"/>
                                <w:color w:val="000000"/>
                                <w:sz w:val="28"/>
                                <w:szCs w:val="28"/>
                                <w:lang w:eastAsia="uk-UA"/>
                              </w:rPr>
                              <w:t>regression analysis (Turkey)</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39.45pt;margin-top:218.05pt;width:236pt;height:62.45pt;mso-wrap-style:square;v-text-anchor:top" wp14:anchorId="332B2950">
                <v:fill o:detectmouseclick="t" on="false"/>
                <v:stroke color="#3465a4" joinstyle="round" endcap="flat"/>
                <v:textbo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w:t>
                      </w:r>
                      <w:r>
                        <w:rPr>
                          <w:rFonts w:eastAsia="Arial Unicode MS" w:cs="Times New Roman" w:ascii="Times New Roman" w:hAnsi="Times New Roman"/>
                          <w:color w:val="000000"/>
                          <w:sz w:val="28"/>
                          <w:szCs w:val="28"/>
                          <w:lang w:eastAsia="uk-UA"/>
                        </w:rPr>
                        <w:t>6</w:t>
                      </w:r>
                      <w:r>
                        <w:rPr>
                          <w:rFonts w:eastAsia="Arial Unicode MS" w:cs="Times New Roman" w:ascii="Times New Roman" w:hAnsi="Times New Roman"/>
                          <w:color w:val="000000"/>
                          <w:sz w:val="28"/>
                          <w:szCs w:val="28"/>
                          <w:lang w:eastAsia="uk-UA"/>
                        </w:rPr>
                        <w:t xml:space="preserve">. M2 and gross investment </w:t>
                      </w:r>
                    </w:p>
                    <w:p>
                      <w:pPr>
                        <w:pStyle w:val="FrameContents"/>
                        <w:spacing w:lineRule="auto" w:line="276"/>
                        <w:rPr/>
                      </w:pPr>
                      <w:r>
                        <w:rPr>
                          <w:rFonts w:eastAsia="Arial Unicode MS" w:cs="Times New Roman" w:ascii="Times New Roman" w:hAnsi="Times New Roman"/>
                          <w:color w:val="000000"/>
                          <w:sz w:val="28"/>
                          <w:szCs w:val="28"/>
                          <w:lang w:eastAsia="uk-UA"/>
                        </w:rPr>
                        <w:t>regression analysis (Turkey)</w:t>
                      </w:r>
                    </w:p>
                  </w:txbxContent>
                </v:textbox>
                <w10:wrap type="none"/>
              </v:rect>
            </w:pict>
          </mc:Fallback>
        </mc:AlternateContent>
        <mc:AlternateContent>
          <mc:Choice Requires="wpg">
            <w:drawing>
              <wp:inline distT="0" distB="0" distL="0" distR="0">
                <wp:extent cx="5957570" cy="3204210"/>
                <wp:effectExtent l="0" t="0" r="0" b="0"/>
                <wp:docPr id="13" name="Shape5"/>
                <a:graphic xmlns:a="http://schemas.openxmlformats.org/drawingml/2006/main">
                  <a:graphicData uri="http://schemas.microsoft.com/office/word/2010/wordprocessingGroup">
                    <wpg:wgp>
                      <wpg:cNvGrpSpPr/>
                      <wpg:grpSpPr>
                        <a:xfrm>
                          <a:off x="0" y="0"/>
                          <a:ext cx="5956920" cy="3203640"/>
                          <a:chOff x="0" y="-3204360"/>
                          <a:chExt cx="5956920" cy="3203640"/>
                        </a:xfrm>
                      </wpg:grpSpPr>
                      <wps:wsp>
                        <wps:cNvSpPr/>
                        <wps:spPr>
                          <a:xfrm>
                            <a:off x="0" y="0"/>
                            <a:ext cx="5956920" cy="3203640"/>
                          </a:xfrm>
                          <a:prstGeom prst="rect">
                            <a:avLst/>
                          </a:prstGeom>
                          <a:solidFill>
                            <a:srgbClr val="ffffff"/>
                          </a:solidFill>
                          <a:ln w="0">
                            <a:noFill/>
                          </a:ln>
                        </wps:spPr>
                        <wps:style>
                          <a:lnRef idx="0"/>
                          <a:fillRef idx="0"/>
                          <a:effectRef idx="0"/>
                          <a:fontRef idx="minor"/>
                        </wps:style>
                        <wps:bodyPr/>
                      </wps:wsp>
                      <pic:pic xmlns:pic="http://schemas.openxmlformats.org/drawingml/2006/picture">
                        <pic:nvPicPr>
                          <pic:cNvPr id="0" name="Image3" descr=""/>
                          <pic:cNvPicPr/>
                        </pic:nvPicPr>
                        <pic:blipFill>
                          <a:blip r:embed="rId6"/>
                          <a:stretch/>
                        </pic:blipFill>
                        <pic:spPr>
                          <a:xfrm>
                            <a:off x="97920" y="132840"/>
                            <a:ext cx="2760480" cy="2283480"/>
                          </a:xfrm>
                          <a:prstGeom prst="rect">
                            <a:avLst/>
                          </a:prstGeom>
                          <a:ln w="0">
                            <a:noFill/>
                          </a:ln>
                        </pic:spPr>
                      </pic:pic>
                      <pic:pic xmlns:pic="http://schemas.openxmlformats.org/drawingml/2006/picture">
                        <pic:nvPicPr>
                          <pic:cNvPr id="1" name="Image4" descr=""/>
                          <pic:cNvPicPr/>
                        </pic:nvPicPr>
                        <pic:blipFill>
                          <a:blip r:embed="rId7"/>
                          <a:stretch/>
                        </pic:blipFill>
                        <pic:spPr>
                          <a:xfrm>
                            <a:off x="3070080" y="179640"/>
                            <a:ext cx="2886840" cy="2519640"/>
                          </a:xfrm>
                          <a:prstGeom prst="rect">
                            <a:avLst/>
                          </a:prstGeom>
                          <a:ln w="0">
                            <a:noFill/>
                          </a:ln>
                        </pic:spPr>
                      </pic:pic>
                      <wps:wsp>
                        <wps:cNvSpPr/>
                        <wps:spPr>
                          <a:xfrm>
                            <a:off x="179640" y="2778120"/>
                            <a:ext cx="2540520" cy="42480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Figure 5.  M2 and GDP time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series (Turkey)</w:t>
                              </w:r>
                            </w:p>
                          </w:txbxContent>
                        </wps:txbx>
                        <wps:bodyPr lIns="0" rIns="0" tIns="0" bIns="0" anchor="t">
                          <a:noAutofit/>
                        </wps:bodyPr>
                      </wps:wsp>
                    </wpg:wgp>
                  </a:graphicData>
                </a:graphic>
              </wp:inline>
            </w:drawing>
          </mc:Choice>
          <mc:Fallback>
            <w:pict>
              <v:group id="shape_0" alt="Shape5" style="position:absolute;margin-left:0pt;margin-top:-252.3pt;width:469.05pt;height:252.25pt" coordorigin="0,-5046" coordsize="9381,5045">
                <v:rect id="shape_0" path="m0,0l-2147483645,0l-2147483645,-2147483646l0,-2147483646xe" fillcolor="white" stroked="f" o:allowincell="f" style="position:absolute;left:0;top:-5046;width:9380;height:5044;mso-wrap-style:none;v-text-anchor:middle;mso-position-vertical:top">
                  <v:fill o:detectmouseclick="t" type="solid" color2="black"/>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3" stroked="f" o:allowincell="f" style="position:absolute;left:154;top:-4837;width:4346;height:3595;mso-wrap-style:none;v-text-anchor:middle;mso-position-vertical:top" type="_x0000_t75">
                  <v:imagedata r:id="rId6" o:detectmouseclick="t"/>
                  <v:stroke color="#3465a4" joinstyle="round" endcap="flat"/>
                  <w10:wrap type="square"/>
                </v:shape>
                <v:shape id="shape_0" ID="Image4" stroked="f" o:allowincell="f" style="position:absolute;left:4835;top:-4763;width:4545;height:3967;mso-wrap-style:none;v-text-anchor:middle;mso-position-vertical:top" type="_x0000_t75">
                  <v:imagedata r:id="rId7" o:detectmouseclick="t"/>
                  <v:stroke color="#3465a4" joinstyle="round" endcap="flat"/>
                  <w10:wrap type="square"/>
                </v:shape>
                <v:rect id="shape_0" path="m0,0l-2147483645,0l-2147483645,-2147483646l0,-2147483646xe" stroked="f" o:allowincell="f" style="position:absolute;left:283;top:-671;width:4000;height:668;mso-wrap-style:square;v-text-anchor:top;mso-position-vertical:top">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Figure 5.  M2 and GDP time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series (Turkey)</w:t>
                        </w:r>
                      </w:p>
                    </w:txbxContent>
                  </v:textbox>
                  <v:fill o:detectmouseclick="t" on="false"/>
                  <v:stroke color="#3465a4" joinstyle="round" endcap="flat"/>
                  <w10:wrap type="square"/>
                </v:rect>
              </v:group>
            </w:pict>
          </mc:Fallback>
        </mc:AlternateConten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2"/>
        <w:ind w:hanging="0"/>
        <w:rPr>
          <w:lang w:val="en-US"/>
        </w:rPr>
      </w:pPr>
      <w:r>
        <w:rPr>
          <w:lang w:val="en-US"/>
        </w:rPr>
      </w:r>
    </w:p>
    <w:p>
      <w:pPr>
        <w:pStyle w:val="Heading2"/>
        <w:ind w:hanging="0"/>
        <w:rPr>
          <w:lang w:val="en-US"/>
        </w:rPr>
      </w:pPr>
      <w:r>
        <w:rPr>
          <w:lang w:val="en-US"/>
        </w:rPr>
      </w:r>
    </w:p>
    <w:p>
      <w:pPr>
        <w:pStyle w:val="Heading2"/>
        <w:ind w:hanging="0"/>
        <w:rPr>
          <w:lang w:val="en-US"/>
        </w:rPr>
      </w:pPr>
      <w:r>
        <w:rPr>
          <w:lang w:val="en-US"/>
        </w:rPr>
        <w:t>Further analysis and discussion</w:t>
      </w:r>
    </w:p>
    <w:p>
      <w:pPr>
        <w:pStyle w:val="Normal"/>
        <w:jc w:val="both"/>
        <w:rPr>
          <w:lang w:val="en-US"/>
        </w:rPr>
      </w:pPr>
      <w:r>
        <w:rPr>
          <w:rFonts w:cs="Times New Roman" w:ascii="Times New Roman" w:hAnsi="Times New Roman"/>
          <w:sz w:val="28"/>
          <w:szCs w:val="28"/>
          <w:lang w:val="en-US"/>
        </w:rPr>
        <w:tab/>
        <w:t>It is believed that the influence of the money supply on investment and via investment on GDP depends significantly on the level of the country's economic development. At the same time, in less developed and poor countries, the expansion of the money supply can only cause excessive inflation and thus harm the GDP. Thus, the practicality of inflation targeting is supposed to be confirmed.</w:t>
      </w:r>
    </w:p>
    <w:p>
      <w:pPr>
        <w:pStyle w:val="Normal"/>
        <w:jc w:val="both"/>
        <w:rPr>
          <w:lang w:val="en-US"/>
        </w:rPr>
      </w:pPr>
      <w:r>
        <w:rPr>
          <w:rFonts w:cs="Times New Roman" w:ascii="Times New Roman" w:hAnsi="Times New Roman"/>
          <w:sz w:val="28"/>
          <w:szCs w:val="28"/>
          <w:lang w:val="en-US"/>
        </w:rPr>
        <w:tab/>
        <w:t xml:space="preserve">To clarify this hypothesis, the next stage of the study was accomplished. The "nearest neighbors" </w:t>
      </w:r>
      <w:r>
        <w:rPr>
          <w:rFonts w:cs="Times New Roman" w:ascii="Times New Roman" w:hAnsi="Times New Roman"/>
          <w:strike w:val="false"/>
          <w:dstrike w:val="false"/>
          <w:sz w:val="28"/>
          <w:szCs w:val="28"/>
          <w:u w:val="none"/>
          <w:lang w:val="en-US"/>
        </w:rPr>
        <w:t xml:space="preserve">were </w:t>
      </w:r>
      <w:r>
        <w:rPr>
          <w:rFonts w:cs="Times New Roman" w:ascii="Times New Roman" w:hAnsi="Times New Roman"/>
          <w:strike w:val="false"/>
          <w:dstrike w:val="false"/>
          <w:sz w:val="28"/>
          <w:szCs w:val="28"/>
          <w:lang w:val="en-US"/>
        </w:rPr>
        <w:t>chosen</w:t>
      </w:r>
      <w:r>
        <w:rPr>
          <w:rFonts w:cs="Times New Roman" w:ascii="Times New Roman" w:hAnsi="Times New Roman"/>
          <w:sz w:val="28"/>
          <w:szCs w:val="28"/>
          <w:lang w:val="en-US"/>
        </w:rPr>
        <w:t xml:space="preserve"> as an analytical method [27]. The classification of countries was carried out using it. As a result, the countries were separated in a two-dimensional feature space. Namely, per capita income (1) and the tightness (Pearson coefficient) of the relationship between M2 and investment (2). The outcomes of the classification are shown in Fig. 6.</w:t>
      </w:r>
    </w:p>
    <w:p>
      <w:pPr>
        <w:pStyle w:val="Normal"/>
        <w:jc w:val="both"/>
        <w:rPr>
          <w:lang w:val="en-US"/>
        </w:rPr>
      </w:pPr>
      <w:r>
        <w:rPr>
          <w:rFonts w:cs="Times New Roman" w:ascii="Times New Roman" w:hAnsi="Times New Roman"/>
          <w:sz w:val="28"/>
          <w:szCs w:val="28"/>
          <w:lang w:val="en-US"/>
        </w:rPr>
        <w:tab/>
        <w:t>The dividing of countries into two groups was done with 91% accuracy. The fulfilled statistical analysis (together with its results and conclusions) partly conflict with the opinions of the above-mentioned authors. As expected, countries with the highest GDP per capita ended up in a strongly correlated class (blue labels in Fig.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lang w:val="en-US"/>
        </w:rPr>
        <w:drawing>
          <wp:inline distT="0" distB="0" distL="0" distR="0">
            <wp:extent cx="4215130" cy="307467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8"/>
                    <a:stretch>
                      <a:fillRect/>
                    </a:stretch>
                  </pic:blipFill>
                  <pic:spPr bwMode="auto">
                    <a:xfrm>
                      <a:off x="0" y="0"/>
                      <a:ext cx="4215130" cy="3074670"/>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6. “Nearest neighbors” classification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However, the biggest number of poor countries also belongs to that class. The figure shows them as a dense cluster of blue dots in the lower right corner. At the same time, some middle-income countries (as well as poor ones) are found to belong to the class with a low correlation between M2 and gross investment. Therefore, we can talk about the incorrectness of the hypothesis that the growth of the money supply has a positive effect on investment and GDP growth only for developed and rich countries.</w:t>
      </w:r>
    </w:p>
    <w:p>
      <w:pPr>
        <w:pStyle w:val="Normal"/>
        <w:ind w:firstLine="709"/>
        <w:jc w:val="both"/>
        <w:rPr>
          <w:lang w:val="en-US"/>
        </w:rPr>
      </w:pPr>
      <w:r>
        <w:rPr>
          <w:rFonts w:cs="Times New Roman" w:ascii="Times New Roman" w:hAnsi="Times New Roman"/>
          <w:sz w:val="28"/>
          <w:szCs w:val="28"/>
          <w:lang w:val="en-US"/>
        </w:rPr>
        <w:t>That the vast majority of the analyzed countries ended up in the class with a provable correlation regardless of their wealth and development. The share of such countries was 79%. On the contrary, among the remaining 21%, there are countries with predominantly middle and low per capita income.</w:t>
      </w:r>
    </w:p>
    <w:p>
      <w:pPr>
        <w:pStyle w:val="Normal"/>
        <w:ind w:firstLine="709"/>
        <w:jc w:val="both"/>
        <w:rPr>
          <w:lang w:val="en-US"/>
        </w:rPr>
      </w:pPr>
      <w:r>
        <w:rPr>
          <w:rFonts w:cs="Times New Roman" w:ascii="Times New Roman" w:hAnsi="Times New Roman"/>
          <w:sz w:val="28"/>
          <w:szCs w:val="28"/>
          <w:lang w:val="en-US"/>
        </w:rPr>
        <w:t>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[28.]. The internal parameters of the “mean shift” method were selected based on cross-validation, maximizing the accuracy of separating the countries in the feature space. The results of the analysis are illustrated in Fig. 7. The countries were divided into five clusters, marked in the figure in different colors (with the centers of the clusters marked with larger circles).</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lang w:val="en-US"/>
        </w:rPr>
        <w:drawing>
          <wp:inline distT="0" distB="0" distL="0" distR="0">
            <wp:extent cx="4037330" cy="312039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9"/>
                    <a:stretch>
                      <a:fillRect/>
                    </a:stretch>
                  </pic:blipFill>
                  <pic:spPr bwMode="auto">
                    <a:xfrm>
                      <a:off x="0" y="0"/>
                      <a:ext cx="4037330" cy="3120390"/>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7. “Mean shift” clustering</w:t>
      </w:r>
    </w:p>
    <w:p>
      <w:pPr>
        <w:pStyle w:val="Normal"/>
        <w:ind w:firstLine="709"/>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The analysis showed that the largest group, marked in blue in the lower right corner, included 78% of the total number of the countries. And these are precisely the countries with a relatively low level of GDP per capita but at the same time a high correlation between M2 and investment. For such countries, the increase of monetization is strongly linked with GDP growth.</w:t>
      </w:r>
    </w:p>
    <w:p>
      <w:pPr>
        <w:pStyle w:val="Normal"/>
        <w:ind w:firstLine="709"/>
        <w:jc w:val="both"/>
        <w:rPr>
          <w:lang w:val="en-US"/>
        </w:rPr>
      </w:pPr>
      <w:r>
        <w:rPr>
          <w:rFonts w:cs="Times New Roman" w:ascii="Times New Roman" w:hAnsi="Times New Roman"/>
          <w:sz w:val="28"/>
          <w:szCs w:val="28"/>
          <w:lang w:val="en-US"/>
        </w:rPr>
        <w:t>Economic logic itself suggests that the low savings ratio and weak financial institutions in such countries make them very susceptible to money supply decrease and decline in monetization. Up to very negative consequences for their economy. These countries' group includes India, Turkey, China, Brazil, Mexico, and several other Latin American countries.</w:t>
      </w:r>
    </w:p>
    <w:p>
      <w:pPr>
        <w:pStyle w:val="Normal"/>
        <w:ind w:firstLine="709"/>
        <w:jc w:val="both"/>
        <w:rPr>
          <w:lang w:val="en-US"/>
        </w:rPr>
      </w:pPr>
      <w:r>
        <w:rPr>
          <w:rFonts w:cs="Times New Roman" w:ascii="Times New Roman" w:hAnsi="Times New Roman"/>
          <w:sz w:val="28"/>
          <w:szCs w:val="28"/>
          <w:lang w:val="en-US"/>
        </w:rPr>
        <w:t>Rich countries in the upper right quadrant of the figure (consisting of two relatively small clusters) showed, as expected, the strong positive relationship between the M2 money supply and investment growth.</w:t>
      </w:r>
    </w:p>
    <w:p>
      <w:pPr>
        <w:pStyle w:val="Normal"/>
        <w:ind w:firstLine="709"/>
        <w:jc w:val="both"/>
        <w:rPr>
          <w:lang w:val="en-US"/>
        </w:rPr>
      </w:pPr>
      <w:r>
        <w:rPr>
          <w:rFonts w:cs="Times New Roman" w:ascii="Times New Roman" w:hAnsi="Times New Roman"/>
          <w:sz w:val="28"/>
          <w:szCs w:val="28"/>
          <w:lang w:val="en-US"/>
        </w:rPr>
        <w:t>In contrast, the green cluster (low correlation and low per capita income) in the lower-left quadrant predictably includes countries ravaged by war or poverty, such as Ethiopia and Libya.</w:t>
      </w:r>
    </w:p>
    <w:p>
      <w:pPr>
        <w:pStyle w:val="Normal"/>
        <w:ind w:firstLine="709"/>
        <w:jc w:val="both"/>
        <w:rPr>
          <w:lang w:val="en-US"/>
        </w:rPr>
      </w:pPr>
      <w:r>
        <w:rPr>
          <w:rFonts w:cs="Times New Roman" w:ascii="Times New Roman" w:hAnsi="Times New Roman"/>
          <w:sz w:val="28"/>
          <w:szCs w:val="28"/>
          <w:lang w:val="en-US"/>
        </w:rPr>
        <w:t>However, there is also a small group of countries where the relationship between M2 and gross investment does not depend on wealth. They are represented by the red cluster in the figure. Among the countries in this group are Japan, Switzerland, and 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b/>
          <w:bCs/>
          <w:sz w:val="28"/>
          <w:szCs w:val="28"/>
          <w:lang w:val="en-US"/>
        </w:rPr>
        <w:t>Conclusions</w:t>
      </w:r>
    </w:p>
    <w:p>
      <w:pPr>
        <w:pStyle w:val="Normal"/>
        <w:ind w:firstLine="709"/>
        <w:jc w:val="both"/>
        <w:rPr>
          <w:lang w:val="en-US"/>
        </w:rPr>
      </w:pPr>
      <w:r>
        <w:rPr>
          <w:rFonts w:cs="Times New Roman" w:ascii="Times New Roman" w:hAnsi="Times New Roman"/>
          <w:sz w:val="28"/>
          <w:szCs w:val="28"/>
          <w:lang w:val="en-US"/>
        </w:rPr>
        <w:t>Money is not just a "blanket" thrown over economy to warm it up. They can and do work, but only with varying degrees of success. Monetary policy is the tool that helped overcome two global crises, but it also created new problems. Namely, uncontrolled price increases and  "financial bubbles" inflating.</w:t>
      </w:r>
    </w:p>
    <w:p>
      <w:pPr>
        <w:pStyle w:val="Normal"/>
        <w:ind w:firstLine="709"/>
        <w:jc w:val="both"/>
        <w:rPr>
          <w:lang w:val="en-US"/>
        </w:rPr>
      </w:pPr>
      <w:r>
        <w:rPr>
          <w:rFonts w:cs="Times New Roman" w:ascii="Times New Roman" w:hAnsi="Times New Roman"/>
          <w:sz w:val="28"/>
          <w:szCs w:val="28"/>
          <w:lang w:val="en-US"/>
        </w:rPr>
        <w:t>As shown by the statistical analysis, money is important, but 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also those lagging, where the dependence is almost functional (but until the possibilities of extensive growth are exhausted).</w:t>
      </w:r>
    </w:p>
    <w:p>
      <w:pPr>
        <w:pStyle w:val="Normal"/>
        <w:ind w:firstLine="709"/>
        <w:jc w:val="both"/>
        <w:rPr>
          <w:lang w:val="en-US"/>
        </w:rPr>
      </w:pPr>
      <w:r>
        <w:rPr>
          <w:rFonts w:cs="Times New Roman" w:ascii="Times New Roman" w:hAnsi="Times New Roman"/>
          <w:sz w:val="28"/>
          <w:szCs w:val="28"/>
          <w:lang w:val="en-US"/>
        </w:rPr>
        <w:t>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w:t>
      </w:r>
      <w:r>
        <w:rPr>
          <w:rFonts w:cs="Times New Roman" w:ascii="Times New Roman" w:hAnsi="Times New Roman"/>
          <w:sz w:val="28"/>
          <w:szCs w:val="28"/>
          <w:lang w:val="en-US"/>
        </w:rPr>
        <w:t>h</w:t>
      </w:r>
      <w:r>
        <w:rPr>
          <w:rFonts w:cs="Times New Roman" w:ascii="Times New Roman" w:hAnsi="Times New Roman"/>
          <w:sz w:val="28"/>
          <w:szCs w:val="28"/>
          <w:lang w:val="en-US"/>
        </w:rPr>
        <w:t>ey cannot by themselves solve the fundamental problems of modernizing economic institutions and bridging technological gaps. Concerning the Ukrainian economy, the regulator has to maintain a stable growth of 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this subject area.</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59" w:before="0" w:after="160"/>
        <w:rPr>
          <w:lang w:val="en-US"/>
        </w:rPr>
      </w:pPr>
      <w:r>
        <w:rPr>
          <w:lang w:val="en-US"/>
        </w:rPr>
      </w:r>
    </w:p>
    <w:sectPr>
      <w:headerReference w:type="default" r:id="rId10"/>
      <w:type w:val="nextPage"/>
      <w:pgSz w:w="11906" w:h="16838"/>
      <w:pgMar w:left="1701" w:right="567" w:gutter="0" w:header="709" w:top="1134" w:footer="0" w:bottom="1134"/>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Helvetica Neue">
    <w:charset w:val="01"/>
    <w:family w:val="roman"/>
    <w:pitch w:val="variable"/>
  </w:font>
  <w:font w:name="Code">
    <w:charset w:val="01"/>
    <w:family w:val="roman"/>
    <w:pitch w:val="variable"/>
  </w:font>
  <w:font w:name="Liberation Mono">
    <w:altName w:val="Courier New"/>
    <w:charset w:val="01"/>
    <w:family w:val="roman"/>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10</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paragraph" w:styleId="Heading1">
    <w:name w:val="Heading 1"/>
    <w:basedOn w:val="Normal"/>
    <w:next w:val="Normal"/>
    <w:uiPriority w:val="9"/>
    <w:qFormat/>
    <w:pPr>
      <w:tabs>
        <w:tab w:val="clear" w:pos="708"/>
        <w:tab w:val="left" w:pos="1736" w:leader="none"/>
        <w:tab w:val="left" w:pos="2019" w:leader="none"/>
      </w:tabs>
      <w:spacing w:before="0" w:after="120"/>
      <w:jc w:val="both"/>
      <w:outlineLvl w:val="0"/>
    </w:pPr>
    <w:rPr>
      <w:rFonts w:ascii="Times New Roman" w:hAnsi="Times New Roman" w:eastAsia="Arial Nova Cond Light" w:cs="Times New Roman"/>
      <w:b/>
      <w:bCs/>
      <w:color w:val="002060"/>
      <w:sz w:val="28"/>
      <w:szCs w:val="28"/>
    </w:rPr>
  </w:style>
  <w:style w:type="paragraph" w:styleId="Heading2">
    <w:name w:val="Heading 2"/>
    <w:basedOn w:val="Normal"/>
    <w:next w:val="Normal"/>
    <w:uiPriority w:val="9"/>
    <w:unhideWhenUsed/>
    <w:qFormat/>
    <w:pPr>
      <w:tabs>
        <w:tab w:val="clear" w:pos="708"/>
        <w:tab w:val="left" w:pos="1736" w:leader="none"/>
        <w:tab w:val="left" w:pos="2019" w:leader="none"/>
      </w:tabs>
      <w:spacing w:before="0" w:after="120"/>
      <w:ind w:firstLine="709"/>
      <w:jc w:val="both"/>
      <w:outlineLvl w:val="1"/>
    </w:pPr>
    <w:rPr>
      <w:rFonts w:ascii="Times New Roman" w:hAnsi="Times New Roman" w:eastAsia="Arial Nova Cond Light" w:cs="Times New Roman"/>
      <w:i/>
      <w:iCs/>
      <w:color w:val="002060"/>
      <w:sz w:val="28"/>
      <w:szCs w:val="28"/>
    </w:rPr>
  </w:style>
  <w:style w:type="paragraph" w:styleId="Heading3">
    <w:name w:val="Heading 3"/>
    <w:basedOn w:val="Normal"/>
    <w:next w:val="Normal"/>
    <w:uiPriority w:val="9"/>
    <w:semiHidden/>
    <w:unhideWhenUsed/>
    <w:qFormat/>
    <w:pPr>
      <w:ind w:firstLine="709"/>
      <w:jc w:val="both"/>
      <w:outlineLvl w:val="2"/>
    </w:pPr>
    <w:rPr>
      <w:rFonts w:ascii="Times New Roman" w:hAnsi="Times New Roman" w:cs="Times New Roman"/>
      <w:sz w:val="28"/>
      <w:szCs w:val="28"/>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qFormat/>
    <w:rPr>
      <w:rFonts w:ascii="Courier New" w:hAnsi="Courier New" w:eastAsia="Arial Unicode MS" w:cs="Arial Unicode MS"/>
      <w:color w:val="000000"/>
      <w:sz w:val="20"/>
      <w:szCs w:val="20"/>
      <w:u w:val="none"/>
      <w:lang w:eastAsia="uk-UA"/>
    </w:rPr>
  </w:style>
  <w:style w:type="character" w:styleId="Style11" w:customStyle="1">
    <w:name w:val="Верхний колонтитул Знак"/>
    <w:basedOn w:val="DefaultParagraphFont"/>
    <w:qFormat/>
    <w:rPr>
      <w:rFonts w:ascii="Calibri" w:hAnsi="Calibri" w:eastAsia="Arial Unicode MS" w:cs="Arial Unicode MS"/>
      <w:color w:val="000000"/>
      <w:u w:val="none"/>
      <w:lang w:eastAsia="uk-UA"/>
    </w:rPr>
  </w:style>
  <w:style w:type="character" w:styleId="Style12" w:customStyle="1">
    <w:name w:val="Нижний колонтитул Знак"/>
    <w:basedOn w:val="DefaultParagraphFont"/>
    <w:qFormat/>
    <w:rPr>
      <w:rFonts w:ascii="Calibri" w:hAnsi="Calibri" w:eastAsia="Arial Unicode MS" w:cs="Arial Unicode MS"/>
      <w:color w:val="000000"/>
      <w:u w:val="none"/>
      <w:lang w:eastAsia="uk-UA"/>
    </w:rPr>
  </w:style>
  <w:style w:type="character" w:styleId="1" w:customStyle="1">
    <w:name w:val="Заголовок 1 Знак"/>
    <w:basedOn w:val="DefaultParagraphFont"/>
    <w:qFormat/>
    <w:rPr>
      <w:rFonts w:ascii="Times New Roman" w:hAnsi="Times New Roman" w:eastAsia="Arial Nova Cond Light" w:cs="Times New Roman"/>
      <w:b/>
      <w:bCs/>
      <w:color w:val="002060"/>
      <w:sz w:val="28"/>
      <w:szCs w:val="28"/>
      <w:u w:val="none"/>
      <w:lang w:eastAsia="uk-UA"/>
    </w:rPr>
  </w:style>
  <w:style w:type="character" w:styleId="Style13" w:customStyle="1">
    <w:name w:val="Текст сноски Знак"/>
    <w:basedOn w:val="DefaultParagraphFont"/>
    <w:qFormat/>
    <w:rPr>
      <w:rFonts w:ascii="Calibri" w:hAnsi="Calibri" w:eastAsia="Arial Unicode MS" w:cs="Arial Unicode MS"/>
      <w:color w:val="000000"/>
      <w:sz w:val="20"/>
      <w:szCs w:val="20"/>
      <w:u w:val="none"/>
      <w:lang w:eastAsia="uk-UA"/>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Wwwc" w:customStyle="1">
    <w:name w:val="www сноcка Знак"/>
    <w:basedOn w:val="Style13"/>
    <w:qFormat/>
    <w:rPr>
      <w:rFonts w:ascii="Times New Roman" w:hAnsi="Times New Roman" w:eastAsia="Arial Unicode MS" w:cs="Arial Unicode MS"/>
      <w:color w:val="000000"/>
      <w:sz w:val="24"/>
      <w:szCs w:val="20"/>
      <w:u w:val="none"/>
      <w:lang w:eastAsia="uk-UA"/>
    </w:rPr>
  </w:style>
  <w:style w:type="character" w:styleId="2" w:customStyle="1">
    <w:name w:val="Заголовок 2 Знак"/>
    <w:basedOn w:val="DefaultParagraphFont"/>
    <w:qFormat/>
    <w:rPr>
      <w:rFonts w:ascii="Times New Roman" w:hAnsi="Times New Roman" w:eastAsia="Arial Nova Cond Light" w:cs="Times New Roman"/>
      <w:i/>
      <w:iCs/>
      <w:color w:val="002060"/>
      <w:sz w:val="28"/>
      <w:szCs w:val="28"/>
      <w:u w:val="none"/>
      <w:lang w:eastAsia="uk-UA"/>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character" w:styleId="3" w:customStyle="1">
    <w:name w:val="Заголовок 3 Знак"/>
    <w:basedOn w:val="DefaultParagraphFont"/>
    <w:qFormat/>
    <w:rPr>
      <w:rFonts w:ascii="Times New Roman" w:hAnsi="Times New Roman" w:eastAsia="Arial Unicode MS" w:cs="Times New Roman"/>
      <w:color w:val="000000"/>
      <w:sz w:val="28"/>
      <w:szCs w:val="28"/>
      <w:u w:val="none"/>
      <w:lang w:eastAsia="uk-UA"/>
    </w:rPr>
  </w:style>
  <w:style w:type="character" w:styleId="Style14" w:customStyle="1">
    <w:name w:val="Текст концевой сноски Знак"/>
    <w:basedOn w:val="DefaultParagraphFont"/>
    <w:qFormat/>
    <w:rPr>
      <w:rFonts w:ascii="Calibri" w:hAnsi="Calibri" w:eastAsia="Arial Unicode MS" w:cs="Arial Unicode MS"/>
      <w:color w:val="000000"/>
      <w:sz w:val="20"/>
      <w:szCs w:val="20"/>
      <w:u w:val="none"/>
      <w:lang w:eastAsia="uk-UA"/>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StrongEmphasis" w:customStyle="1">
    <w:name w:val="Strong Emphasis"/>
    <w:qFormat/>
    <w:rPr>
      <w:b/>
      <w:bCs/>
    </w:rPr>
  </w:style>
  <w:style w:type="character" w:styleId="Annotationreference">
    <w:name w:val="annotation reference"/>
    <w:basedOn w:val="DefaultParagraphFont"/>
    <w:uiPriority w:val="99"/>
    <w:semiHidden/>
    <w:unhideWhenUsed/>
    <w:qFormat/>
    <w:rsid w:val="00e40f08"/>
    <w:rPr>
      <w:sz w:val="16"/>
      <w:szCs w:val="16"/>
    </w:rPr>
  </w:style>
  <w:style w:type="character" w:styleId="CommentTextChar" w:customStyle="1">
    <w:name w:val="Comment Text Char"/>
    <w:basedOn w:val="DefaultParagraphFont"/>
    <w:link w:val="CommentText"/>
    <w:uiPriority w:val="99"/>
    <w:qFormat/>
    <w:rsid w:val="00e40f08"/>
    <w:rPr>
      <w:rFonts w:eastAsia="Arial Unicode MS" w:cs="Arial Unicode MS"/>
      <w:color w:val="000000"/>
      <w:sz w:val="20"/>
      <w:szCs w:val="20"/>
      <w:lang w:eastAsia="uk-UA"/>
    </w:rPr>
  </w:style>
  <w:style w:type="character" w:styleId="CommentSubjectChar" w:customStyle="1">
    <w:name w:val="Comment Subject Char"/>
    <w:basedOn w:val="CommentTextChar"/>
    <w:link w:val="CommentSubject"/>
    <w:uiPriority w:val="99"/>
    <w:semiHidden/>
    <w:qFormat/>
    <w:rsid w:val="00e40f08"/>
    <w:rPr>
      <w:rFonts w:eastAsia="Arial Unicode MS" w:cs="Arial Unicode MS"/>
      <w:b/>
      <w:bCs/>
      <w:color w:val="000000"/>
      <w:sz w:val="20"/>
      <w:szCs w:val="20"/>
      <w:lang w:eastAsia="uk-UA"/>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HeaderFooter" w:customStyle="1">
    <w:name w:val="Header &amp; Footer"/>
    <w:qFormat/>
    <w:pPr>
      <w:widowControl/>
      <w:tabs>
        <w:tab w:val="clear" w:pos="708"/>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uk-UA" w:bidi="ar-SA"/>
    </w:rPr>
  </w:style>
  <w:style w:type="paragraph" w:styleId="ListParagraph">
    <w:name w:val="List Paragraph"/>
    <w:qFormat/>
    <w:pPr>
      <w:widowControl/>
      <w:suppressAutoHyphens w:val="true"/>
      <w:bidi w:val="0"/>
      <w:spacing w:lineRule="auto" w:line="259" w:before="0" w:after="160"/>
      <w:ind w:left="720" w:hanging="0"/>
      <w:jc w:val="left"/>
    </w:pPr>
    <w:rPr>
      <w:rFonts w:ascii="Calibri" w:hAnsi="Calibri" w:eastAsia="Arial Unicode MS" w:cs="Arial Unicode MS"/>
      <w:color w:val="000000"/>
      <w:kern w:val="0"/>
      <w:sz w:val="22"/>
      <w:szCs w:val="22"/>
      <w:lang w:val="en-US" w:eastAsia="uk-UA" w:bidi="ar-SA"/>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Courier New" w:hAnsi="Courier New" w:eastAsia="Arial Unicode MS" w:cs="Arial Unicode MS"/>
      <w:color w:val="000000"/>
      <w:kern w:val="0"/>
      <w:sz w:val="20"/>
      <w:szCs w:val="20"/>
      <w:lang w:val="en-US" w:eastAsia="uk-UA" w:bidi="ar-SA"/>
    </w:rPr>
  </w:style>
  <w:style w:type="paragraph" w:styleId="HeaderandFooter" w:customStyle="1">
    <w:name w:val="Header and Footer"/>
    <w:basedOn w:val="Normal"/>
    <w:qFormat/>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Footnote">
    <w:name w:val="Footnote Text"/>
    <w:basedOn w:val="Normal"/>
    <w:pPr/>
    <w:rPr>
      <w:sz w:val="20"/>
      <w:szCs w:val="20"/>
    </w:rPr>
  </w:style>
  <w:style w:type="paragraph" w:styleId="Wwwc1" w:customStyle="1">
    <w:name w:val="www сноcка"/>
    <w:basedOn w:val="Footnote"/>
    <w:qFormat/>
    <w:pPr>
      <w:ind w:firstLine="709"/>
    </w:pPr>
    <w:rPr>
      <w:rFonts w:ascii="Times New Roman" w:hAnsi="Times New Roman"/>
      <w:sz w:val="24"/>
    </w:rPr>
  </w:style>
  <w:style w:type="paragraph" w:styleId="Default" w:customStyle="1">
    <w:name w:val="Default"/>
    <w:qFormat/>
    <w:pPr>
      <w:widowControl/>
      <w:suppressAutoHyphens w:val="true"/>
      <w:bidi w:val="0"/>
      <w:spacing w:before="0" w:after="0"/>
      <w:jc w:val="left"/>
    </w:pPr>
    <w:rPr>
      <w:rFonts w:ascii="Code" w:hAnsi="Code" w:eastAsia="Calibri" w:cs="Code"/>
      <w:color w:val="000000"/>
      <w:kern w:val="0"/>
      <w:sz w:val="24"/>
      <w:szCs w:val="24"/>
      <w:lang w:val="en-US" w:eastAsia="en-US" w:bidi="ar-SA"/>
    </w:rPr>
  </w:style>
  <w:style w:type="paragraph" w:styleId="BVIfnr" w:customStyle="1">
    <w:name w:val="BVI fnr Знак"/>
    <w:basedOn w:val="Normal"/>
    <w:qFormat/>
    <w:pPr>
      <w:spacing w:lineRule="exact" w:line="240"/>
    </w:pPr>
    <w:rPr>
      <w:rFonts w:eastAsia="Calibri" w:cs="Tahoma"/>
      <w:color w:val="auto"/>
      <w:vertAlign w:val="superscript"/>
      <w:lang w:eastAsia="en-US"/>
    </w:rPr>
  </w:style>
  <w:style w:type="paragraph" w:styleId="TableContents" w:customStyle="1">
    <w:name w:val="Table Contents"/>
    <w:basedOn w:val="Normal"/>
    <w:qFormat/>
    <w:pPr>
      <w:widowControl w:val="false"/>
      <w:suppressLineNumbers/>
      <w:suppressAutoHyphens w:val="true"/>
    </w:pPr>
    <w:rPr>
      <w:rFonts w:ascii="Liberation Serif" w:hAnsi="Liberation Serif" w:eastAsia="Songti SC"/>
      <w:color w:val="auto"/>
      <w:kern w:val="2"/>
      <w:sz w:val="24"/>
      <w:szCs w:val="24"/>
      <w:lang w:eastAsia="zh-CN" w:bidi="hi-IN"/>
    </w:rPr>
  </w:style>
  <w:style w:type="paragraph" w:styleId="FrameContents" w:customStyle="1">
    <w:name w:val="Frame Contents"/>
    <w:basedOn w:val="Normal"/>
    <w:qFormat/>
    <w:pPr>
      <w:suppressAutoHyphens w:val="true"/>
    </w:pPr>
    <w:rPr>
      <w:rFonts w:ascii="Liberation Serif" w:hAnsi="Liberation Serif" w:eastAsia="Songti SC"/>
      <w:color w:val="auto"/>
      <w:kern w:val="2"/>
      <w:sz w:val="24"/>
      <w:szCs w:val="24"/>
      <w:lang w:eastAsia="zh-CN" w:bidi="hi-IN"/>
    </w:rPr>
  </w:style>
  <w:style w:type="paragraph" w:styleId="Endnote">
    <w:name w:val="Endnote Text"/>
    <w:basedOn w:val="Normal"/>
    <w:pPr/>
    <w:rPr>
      <w:sz w:val="20"/>
      <w:szCs w:val="20"/>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unhideWhenUsed/>
    <w:qFormat/>
    <w:rsid w:val="00e40f08"/>
    <w:pPr/>
    <w:rPr>
      <w:sz w:val="20"/>
      <w:szCs w:val="20"/>
    </w:rPr>
  </w:style>
  <w:style w:type="paragraph" w:styleId="Annotationsubject">
    <w:name w:val="annotation subject"/>
    <w:basedOn w:val="Annotationtext"/>
    <w:next w:val="Annotationtext"/>
    <w:link w:val="CommentSubjectChar"/>
    <w:uiPriority w:val="99"/>
    <w:semiHidden/>
    <w:unhideWhenUsed/>
    <w:qFormat/>
    <w:rsid w:val="00e40f08"/>
    <w:pPr/>
    <w:rPr>
      <w:b/>
      <w:bCs/>
    </w:rPr>
  </w:style>
  <w:style w:type="paragraph" w:styleId="Revision">
    <w:name w:val="Revision"/>
    <w:uiPriority w:val="99"/>
    <w:semiHidden/>
    <w:qFormat/>
    <w:rsid w:val="00e40f08"/>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LibreOffice/7.2.1.2$MacOSX_X86_64 LibreOffice_project/87b77fad49947c1441b67c559c339af8f3517e22</Application>
  <AppVersion>15.0000</AppVersion>
  <Pages>11</Pages>
  <Words>3880</Words>
  <Characters>21495</Characters>
  <CharactersWithSpaces>25374</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2022-02-07T16:46:00Z</dcterms:created>
  <dc:creator>Olesia</dc:creator>
  <dc:description/>
  <dc:language>ru-RU</dc:language>
  <cp:lastModifiedBy/>
  <cp:lastPrinted>2022-02-06T08:10:00Z</cp:lastPrinted>
  <dcterms:modified xsi:type="dcterms:W3CDTF">2022-02-08T13:51:35Z</dcterms:modified>
  <cp:revision>12</cp:revision>
  <dc:subject/>
  <dc:title>Якою буде система оподаткування прибутку підприємств в Україні до 2035 року? Передбачення методом Дельфі</dc:title>
</cp:coreProperties>
</file>

<file path=docProps/custom.xml><?xml version="1.0" encoding="utf-8"?>
<Properties xmlns="http://schemas.openxmlformats.org/officeDocument/2006/custom-properties" xmlns:vt="http://schemas.openxmlformats.org/officeDocument/2006/docPropsVTypes"/>
</file>