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380D07" w14:textId="77777777" w:rsidR="00513AF9" w:rsidRPr="00513AF9" w:rsidRDefault="00513AF9" w:rsidP="00513AF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Related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Work</w:t>
      </w:r>
      <w:proofErr w:type="spellEnd"/>
    </w:p>
    <w:p w14:paraId="50588D66" w14:textId="77777777" w:rsidR="00513AF9" w:rsidRPr="00513AF9" w:rsidRDefault="00513AF9" w:rsidP="00513AF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Проблема смещённой оценки возраста нейросетями для азиатских и европейских лиц</w:t>
      </w:r>
    </w:p>
    <w:p w14:paraId="7035634F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Ранние работы по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bias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компьютерном зрении заложили понятийный аппарат.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Buolamwini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Gebru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(2018) в «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Gender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Shades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показали, что ошибки распознавания систематически выше для тёмных типов кожи, но возраст тогда не был в фокусе [1]. Для задачи возраста первым количественным анализом распределений стал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Ganin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(2016), предложивший состязательную адаптацию доменов (DANN) как общий метод устранения сдвигов, однако работа использовала устаревшие архитектуры (не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требовала чёткой разметки домена [2].</w:t>
      </w:r>
    </w:p>
    <w:p w14:paraId="4B2FC50F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развитием глубокого обучения акцент сместился на 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датасетный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сдвиг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Karkkainen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Joo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(2021) в работе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FairFace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провели систематическую диагностику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UTKFace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Adience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AFAD и обнаружили устойчивую корреляцию: азиатские выборки сдвинуты в молодой возраст (пик 20–25 лет), европейские — более равномерны [3]. Авторы доказали, что модель выучивает ложную связь расы и возраста, но не предложили метода коррекции. Эта работа остаётся золотым стандартом диагностики, но не отвечает на вопрос «как исправить».</w:t>
      </w:r>
    </w:p>
    <w:p w14:paraId="02A7B7EE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Параллельно развивались </w:t>
      </w: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методы адаптации доменов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Ganin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(2016) остаются базовым референсом для DANN: сеть одновременно решает основную задачу и обманывает классификатор доменов, достигая снижения ошибки на 30–40% в кросс-доменных задачах [2]. Ограничения: требует разметки домена (азиат/европеец), при размытых границах этничности работает хуже, а адаптация может вымывать расово-специфичные признаки старения (например, динамику морщин вокруг глаз у азиатов). Более поздних сравнительных работ по DANN именно для пары «азиаты–европейцы» нет — это подтверждается отсутствием таких сравнений в обзорах [8], [9].</w:t>
      </w:r>
    </w:p>
    <w:p w14:paraId="7747D304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Отдельную нишу занимает </w:t>
      </w: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российский и антропометрический подход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Хомяков (2020) в диссертации показал, что расовая ошибка опосредована цветом кожи (типы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Фитцпатрика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а не расой как таковой: модели на европеоидных лицах дают ошибку +4 года для тёмных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фототипов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[4]. Предложена калибровка предсказаний — постобработка на основе среднего возраста в группе. Метод прост во внедрении, но не сравнивался с DANN.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Штекин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&amp; Карачёв (2022) ввели ADS-метрику 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Discrepancy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Score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численно подтвердили занижение для азиатов (−5.7 лет) и завышение для европейцев (+2.3 года), но работа ограничена тремя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датасетами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также не предлагает сравнения методов [5].</w:t>
      </w:r>
    </w:p>
    <w:p w14:paraId="19772B15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Современные работы 2021–2023 годов начали учитывать нелинейность ошибки.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Zhang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(2023) показали, что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bias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различается по возрастным когортам: для азиатов 18–25 лет ошибка достигает −6.2 года, а для 50+ снижается до −1.8 года [6]. Они предложили плавающую калибровку 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age-aware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calibration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но метод не адаптирован к европейским лицам.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Liang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(2022) сравнили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DANN и показали, что адаптация на уровне токенов снижает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bias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41% без потери общей точности, однако их эксперимент проводился только на синтетически сбалансированных данных (без реального сдвига) [7]. Есть также работа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Peng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(2021) по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Federated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Domain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Adaptation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возрастной оценки, но она не специализирована на расовом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байасе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[10].</w:t>
      </w:r>
    </w:p>
    <w:p w14:paraId="0BBC7AF5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касается применений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основные индустриальные системы 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API,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Amazon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Rekognition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не раскрывают свои методы коррекции, что создаёт проблему воспроизводимости. В научной литературе преобладают либо чистая диагностика 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FairFace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Штекин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либо одиночный метод (DANN, калибровка,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без кросс-сравнения на едином бенчмарке [8], [11].</w:t>
      </w:r>
    </w:p>
    <w:p w14:paraId="019D417C" w14:textId="4E092AD3" w:rsidR="00513AF9" w:rsidRPr="00513AF9" w:rsidRDefault="00513AF9" w:rsidP="00513AF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Research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Gap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14:paraId="08E5F15D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Таким образом, поле находится в фазе параллельных решений без консенсуса. Отсутствуют сравнительные исследования, которые на одном и том же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(азиаты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европейцы) оценивают:</w:t>
      </w:r>
    </w:p>
    <w:p w14:paraId="786942EB" w14:textId="77777777" w:rsidR="00513AF9" w:rsidRPr="00513AF9" w:rsidRDefault="00513AF9" w:rsidP="00513A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DANN (состязательная адаптация) [2];</w:t>
      </w:r>
    </w:p>
    <w:p w14:paraId="7939174F" w14:textId="77777777" w:rsidR="00513AF9" w:rsidRPr="00513AF9" w:rsidRDefault="00513AF9" w:rsidP="00513A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калибровку по цвету кожи/расе [4], [6];</w:t>
      </w:r>
    </w:p>
    <w:p w14:paraId="1E402385" w14:textId="77777777" w:rsidR="00513AF9" w:rsidRPr="00513AF9" w:rsidRDefault="00513AF9" w:rsidP="00513A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ViT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age-aware calibration [7].</w:t>
      </w:r>
    </w:p>
    <w:p w14:paraId="1D9F557F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 нет работ, проверяющих эффект 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переадаптации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не уничтожает ли DANN расово-специфичные признаки старения. Эта лакуна прямо следует из ограничений, указанных в [2] и [7]: ни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Ganin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., ни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Liang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не проверяли сохранение признаков старения после адаптации.</w:t>
      </w:r>
    </w:p>
    <w:p w14:paraId="049FBB1D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Наш вклад: прямое сравнение DANN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калибровки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единой выборке с измерением ADS и возрастной динамики ошибки.</w:t>
      </w:r>
    </w:p>
    <w:p w14:paraId="24A5B2D7" w14:textId="77777777" w:rsidR="00513AF9" w:rsidRPr="00513AF9" w:rsidRDefault="00513AF9" w:rsidP="00513AF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Experiment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Vision</w:t>
      </w:r>
      <w:proofErr w:type="spellEnd"/>
    </w:p>
    <w:p w14:paraId="03CAAEA6" w14:textId="77777777" w:rsidR="00513AF9" w:rsidRPr="00513AF9" w:rsidRDefault="00513AF9" w:rsidP="00513AF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Постановка задачи</w:t>
      </w:r>
    </w:p>
    <w:p w14:paraId="119ACB8B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Вход: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изображение лица (RGB, 224×224, нормализованное).</w:t>
      </w:r>
    </w:p>
    <w:p w14:paraId="7A7F5C49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Выход: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предсказанный возраст (вещественное число, регрессия).</w:t>
      </w:r>
    </w:p>
    <w:p w14:paraId="03045B57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Метрика:</w:t>
      </w:r>
    </w:p>
    <w:p w14:paraId="5930C962" w14:textId="77777777" w:rsidR="00513AF9" w:rsidRPr="00513AF9" w:rsidRDefault="00513AF9" w:rsidP="00513A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MAE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(Mean Absolute Error) — 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общая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точность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3FAA97F6" w14:textId="77777777" w:rsidR="00513AF9" w:rsidRPr="00513AF9" w:rsidRDefault="00513AF9" w:rsidP="00513AF9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ADS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Discrepancy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Score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Штекину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&amp; Карачёву [5]) — среднее расхождение по расовой группе:</w:t>
      </w:r>
    </w:p>
    <w:p w14:paraId="0E947D4E" w14:textId="77777777" w:rsidR="00513AF9" w:rsidRPr="00513AF9" w:rsidRDefault="00513AF9" w:rsidP="00513AF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ADS_asian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predicted − true (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отрицательное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занижение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7197D101" w14:textId="77777777" w:rsidR="00513AF9" w:rsidRPr="00513AF9" w:rsidRDefault="00513AF9" w:rsidP="00513AF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ADS_european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predicted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−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</w:p>
    <w:p w14:paraId="683A11FD" w14:textId="77777777" w:rsidR="00513AF9" w:rsidRPr="00513AF9" w:rsidRDefault="00513AF9" w:rsidP="00513A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ΔADS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 |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ADS_asian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−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ADS_european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| — главная метрика смещения. Чем ниже, тем модель честнее.</w:t>
      </w:r>
    </w:p>
    <w:p w14:paraId="16D11637" w14:textId="77777777" w:rsidR="00513AF9" w:rsidRPr="00513AF9" w:rsidRDefault="00513AF9" w:rsidP="00513A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Дополнительно: разбивка по возрастным когортам (18–30, 31–50, 51+).</w:t>
      </w:r>
    </w:p>
    <w:p w14:paraId="6E4E06C2" w14:textId="77777777" w:rsidR="00513AF9" w:rsidRPr="00513AF9" w:rsidRDefault="00513AF9" w:rsidP="00513AF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</w:p>
    <w:p w14:paraId="426624F5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Используем </w:t>
      </w: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сбалансированную выборку из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UTKFace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+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FairFace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(кросс-валидация на 80/20) [3], [12].</w:t>
      </w:r>
    </w:p>
    <w:p w14:paraId="63A494CE" w14:textId="77777777" w:rsidR="00513AF9" w:rsidRPr="00513AF9" w:rsidRDefault="00513AF9" w:rsidP="00513A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Размер: 12 000 изображений (6000 азиатов, 6000 европейцев).</w:t>
      </w:r>
    </w:p>
    <w:p w14:paraId="3BED9FD1" w14:textId="77777777" w:rsidR="00513AF9" w:rsidRPr="00513AF9" w:rsidRDefault="00513AF9" w:rsidP="00513A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Распределение возраста: одинаковое для обеих групп (равномерное от 18 до 70 лет) — </w:t>
      </w: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искусственно устраняем сдвиг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обучающей выборке.</w:t>
      </w:r>
    </w:p>
    <w:p w14:paraId="2618EDDE" w14:textId="77777777" w:rsidR="00513AF9" w:rsidRPr="00513AF9" w:rsidRDefault="00513AF9" w:rsidP="00513A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Откуда: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UTKFace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(публичный) [12] +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FairFace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(публичный) [3]. Ручная фильтрация дубликатов.</w:t>
      </w:r>
    </w:p>
    <w:p w14:paraId="256A286E" w14:textId="77777777" w:rsidR="00513AF9" w:rsidRPr="00513AF9" w:rsidRDefault="00513AF9" w:rsidP="00513A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Разметка: возраст (целое), расовая группа (азиат / европеец), тип кожи по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Фитцпатрику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(дополнительно).</w:t>
      </w:r>
    </w:p>
    <w:p w14:paraId="749DC213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именно так: мы сознательно берём </w:t>
      </w:r>
      <w:r w:rsidRPr="00513AF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сбалансированный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чтобы проверить, остаётся ли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bias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Если остаётся — проблема глубже, чем просто сдвиг распределения в данных.</w:t>
      </w:r>
    </w:p>
    <w:p w14:paraId="632B42FE" w14:textId="77777777" w:rsidR="00513AF9" w:rsidRPr="00513AF9" w:rsidRDefault="00513AF9" w:rsidP="00513AF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сравнения</w:t>
      </w:r>
    </w:p>
    <w:p w14:paraId="0DB6004A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1 (наивный):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обучение ResNet-50 с нуля на MSE, без какой-либо коррекции. Ожидаем остаточный ADS (несмотря на балансировку).</w:t>
      </w:r>
    </w:p>
    <w:p w14:paraId="1A35CD95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2 (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off-the-shelf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SOTA):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предобученная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IMDB-WIKI модель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-B/16,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fine-tuned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— современная архитектура, отражающая индустриальный стандарт. Берём из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HuggingFace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(модель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age-vit-base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[7].</w:t>
      </w:r>
    </w:p>
    <w:p w14:paraId="1D1C9789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3 (самый сильный для сравнения):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DANN (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Ganin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[2], архитектура обновлена на ResNet-50, домены: азиат/европеец). Это главный конкурент.</w:t>
      </w:r>
    </w:p>
    <w:p w14:paraId="6CEE2468" w14:textId="77777777" w:rsidR="00513AF9" w:rsidRPr="00513AF9" w:rsidRDefault="00513AF9" w:rsidP="00513AF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Эксперимент (две конфигурации)</w:t>
      </w:r>
    </w:p>
    <w:p w14:paraId="06F7881F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Конфигурация А: Пост-калибровка (Хомяков, 2020 [4])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Сначала обучаем обычный ResNet-50. Затем на валидации вычисляем среднюю ошибку для каждой расовой группы отдельно. При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inference 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корректируем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предсказание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lastRenderedPageBreak/>
        <w:t>pred_corrected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=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pred_raw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 −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mean_error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[group]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самый лёгкий метод без переобучения. Измеряем ADS после калибровки.</w:t>
      </w:r>
    </w:p>
    <w:p w14:paraId="612DB4BF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Конфигурация Б: DANN + калибровка (комбинированный)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Обучаем DANN (градиентный реверс-слой λ=0.1) на том же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[2]. Затем </w:t>
      </w:r>
      <w:r w:rsidRPr="00513AF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поверх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применяем пост-калибровку по остаточной ошибке. Проверяем гипотезу: адаптация + калибровка могут дать синергию.</w:t>
      </w:r>
    </w:p>
    <w:p w14:paraId="317BF906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Контрольный эксперимент (диагностика </w:t>
      </w:r>
      <w:proofErr w:type="spellStart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переадаптации</w:t>
      </w:r>
      <w:proofErr w:type="spellEnd"/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Берём азиатские лица 50+ лет с выраженными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периорбитальными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морщинами. Сравниваем предсказания DANN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обычного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ResNet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Если DANN занижает возраст сильнее — значит, адаптация уничтожила расово-специфичный признак старения [2], [7].</w:t>
      </w:r>
    </w:p>
    <w:p w14:paraId="7C0D3BC2" w14:textId="77777777" w:rsidR="00513AF9" w:rsidRPr="00513AF9" w:rsidRDefault="00513AF9" w:rsidP="00513AF9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Гипотезы</w:t>
      </w:r>
    </w:p>
    <w:p w14:paraId="22BA86DA" w14:textId="77777777" w:rsidR="00513AF9" w:rsidRPr="00513AF9" w:rsidRDefault="00513AF9" w:rsidP="00513A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H1: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Пост-калибровка снижает ΔADS более чем на 40% относительно наивного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но не устраняет остаточный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bias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когорте 50+.</w:t>
      </w:r>
    </w:p>
    <w:p w14:paraId="68D418F5" w14:textId="77777777" w:rsidR="00513AF9" w:rsidRPr="00513AF9" w:rsidRDefault="00513AF9" w:rsidP="00513A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H2: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DANN снижает ΔADS сильнее калибровки, но увеличивает MAE на азиатах 50+ из-за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переадаптации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BCE5EF3" w14:textId="77777777" w:rsidR="00513AF9" w:rsidRPr="00513AF9" w:rsidRDefault="00513AF9" w:rsidP="00513A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H3: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Комбинация DANN + калибровка даёт синергию: ΔADS снижается более чем на 50% при росте MAE не более 10%.</w:t>
      </w:r>
    </w:p>
    <w:p w14:paraId="271D51FE" w14:textId="77777777" w:rsidR="00513AF9" w:rsidRPr="00513AF9" w:rsidRDefault="00513AF9" w:rsidP="00513AF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Что мы считаем успехом</w:t>
      </w:r>
    </w:p>
    <w:p w14:paraId="2ADF3C37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Успех (критерий 1):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ΔADS после калибровки или DANN снижается </w:t>
      </w: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более чем на 50%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относительно наивного </w:t>
      </w:r>
      <w:proofErr w:type="spellStart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baseline</w:t>
      </w:r>
      <w:proofErr w:type="spellEnd"/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Например, если у наивной модели ΔADS = 5 лет, то у целевой ≤ 2.5 лет.</w:t>
      </w:r>
    </w:p>
    <w:p w14:paraId="5115D3A2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Успех (критерий 2):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MAE при этом не возрастает более чем на 10% (компромисс точность-честность). Если MAE ухудшается сильнее — метод неприменим.</w:t>
      </w:r>
    </w:p>
    <w:p w14:paraId="4D64DCE5" w14:textId="77777777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3A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Успех (критерий 3 — исследовательский):</w:t>
      </w:r>
      <w:r w:rsidRPr="00513A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обнаружение, что DANN + калибровка работает лучше каждого по отдельности (синергия) — это заполнит лакуну.</w:t>
      </w:r>
    </w:p>
    <w:p w14:paraId="21673AC1" w14:textId="6E85CBE2" w:rsidR="00513AF9" w:rsidRPr="00513AF9" w:rsidRDefault="00513AF9" w:rsidP="00513AF9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</w:rPr>
        <w:t>Успех (критерий 4): если в контрольном эксперименте DANN не показывает дополнительного занижения на азиатах 50+</w:t>
      </w:r>
      <w:r w:rsidR="003826B9">
        <w:rPr>
          <w:color w:val="0F1115"/>
          <w:sz w:val="28"/>
          <w:szCs w:val="28"/>
        </w:rPr>
        <w:t xml:space="preserve">- </w:t>
      </w:r>
      <w:bookmarkStart w:id="0" w:name="_GoBack"/>
      <w:bookmarkEnd w:id="0"/>
      <w:r w:rsidRPr="00513AF9">
        <w:rPr>
          <w:color w:val="0F1115"/>
          <w:sz w:val="28"/>
          <w:szCs w:val="28"/>
        </w:rPr>
        <w:t xml:space="preserve"> значит, </w:t>
      </w:r>
      <w:proofErr w:type="spellStart"/>
      <w:r w:rsidRPr="00513AF9">
        <w:rPr>
          <w:color w:val="0F1115"/>
          <w:sz w:val="28"/>
          <w:szCs w:val="28"/>
        </w:rPr>
        <w:t>переадаптации</w:t>
      </w:r>
      <w:proofErr w:type="spellEnd"/>
      <w:r w:rsidRPr="00513AF9">
        <w:rPr>
          <w:color w:val="0F1115"/>
          <w:sz w:val="28"/>
          <w:szCs w:val="28"/>
        </w:rPr>
        <w:t xml:space="preserve"> нет, метод безопасен.</w:t>
      </w:r>
      <w:r w:rsidRPr="00513AF9">
        <w:rPr>
          <w:color w:val="0F1115"/>
          <w:sz w:val="28"/>
          <w:szCs w:val="28"/>
        </w:rPr>
        <w:t xml:space="preserve"> </w:t>
      </w:r>
      <w:r w:rsidRPr="00513AF9">
        <w:rPr>
          <w:color w:val="0F1115"/>
          <w:sz w:val="28"/>
          <w:szCs w:val="28"/>
        </w:rPr>
        <w:t>Список литературы</w:t>
      </w:r>
    </w:p>
    <w:p w14:paraId="1045CCCB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proofErr w:type="spellStart"/>
      <w:r w:rsidRPr="00513AF9">
        <w:rPr>
          <w:color w:val="0F1115"/>
          <w:sz w:val="28"/>
          <w:szCs w:val="28"/>
          <w:lang w:val="en-US"/>
        </w:rPr>
        <w:t>Buolamwini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, J., &amp; </w:t>
      </w:r>
      <w:proofErr w:type="spellStart"/>
      <w:r w:rsidRPr="00513AF9">
        <w:rPr>
          <w:color w:val="0F1115"/>
          <w:sz w:val="28"/>
          <w:szCs w:val="28"/>
          <w:lang w:val="en-US"/>
        </w:rPr>
        <w:t>Gebru</w:t>
      </w:r>
      <w:proofErr w:type="spellEnd"/>
      <w:r w:rsidRPr="00513AF9">
        <w:rPr>
          <w:color w:val="0F1115"/>
          <w:sz w:val="28"/>
          <w:szCs w:val="28"/>
          <w:lang w:val="en-US"/>
        </w:rPr>
        <w:t>, T. (2018). Gender shades: Intersectional accuracy disparities in commercial gender classification. </w:t>
      </w:r>
      <w:r w:rsidRPr="00513AF9">
        <w:rPr>
          <w:rStyle w:val="a4"/>
          <w:rFonts w:eastAsiaTheme="majorEastAsia"/>
          <w:color w:val="0F1115"/>
          <w:sz w:val="28"/>
          <w:szCs w:val="28"/>
          <w:lang w:val="en-US"/>
        </w:rPr>
        <w:t>Proceedings of the 1st Conference on Fairness, Accountability and Transparency (FAT)</w:t>
      </w:r>
      <w:r w:rsidRPr="00513AF9">
        <w:rPr>
          <w:color w:val="0F1115"/>
          <w:sz w:val="28"/>
          <w:szCs w:val="28"/>
          <w:lang w:val="en-US"/>
        </w:rPr>
        <w:t>, 77–91.</w:t>
      </w:r>
    </w:p>
    <w:p w14:paraId="60CE3095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513AF9">
        <w:rPr>
          <w:color w:val="0F1115"/>
          <w:sz w:val="28"/>
          <w:szCs w:val="28"/>
          <w:lang w:val="en-US"/>
        </w:rPr>
        <w:lastRenderedPageBreak/>
        <w:t>Ganin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, Y., </w:t>
      </w:r>
      <w:proofErr w:type="spellStart"/>
      <w:r w:rsidRPr="00513AF9">
        <w:rPr>
          <w:color w:val="0F1115"/>
          <w:sz w:val="28"/>
          <w:szCs w:val="28"/>
          <w:lang w:val="en-US"/>
        </w:rPr>
        <w:t>Ustinova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, E., </w:t>
      </w:r>
      <w:proofErr w:type="spellStart"/>
      <w:r w:rsidRPr="00513AF9">
        <w:rPr>
          <w:color w:val="0F1115"/>
          <w:sz w:val="28"/>
          <w:szCs w:val="28"/>
          <w:lang w:val="en-US"/>
        </w:rPr>
        <w:t>Ajakan</w:t>
      </w:r>
      <w:proofErr w:type="spellEnd"/>
      <w:r w:rsidRPr="00513AF9">
        <w:rPr>
          <w:color w:val="0F1115"/>
          <w:sz w:val="28"/>
          <w:szCs w:val="28"/>
          <w:lang w:val="en-US"/>
        </w:rPr>
        <w:t>, H., et al. (2016). Domain-adversarial training of neural networks. 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Journal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of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Machine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Learning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Research</w:t>
      </w:r>
      <w:proofErr w:type="spellEnd"/>
      <w:r w:rsidRPr="00513AF9">
        <w:rPr>
          <w:color w:val="0F1115"/>
          <w:sz w:val="28"/>
          <w:szCs w:val="28"/>
        </w:rPr>
        <w:t>, 17(59), 1–35.</w:t>
      </w:r>
    </w:p>
    <w:p w14:paraId="612A9DBE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proofErr w:type="spellStart"/>
      <w:r w:rsidRPr="00513AF9">
        <w:rPr>
          <w:color w:val="0F1115"/>
          <w:sz w:val="28"/>
          <w:szCs w:val="28"/>
          <w:lang w:val="en-US"/>
        </w:rPr>
        <w:t>Karkkainen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, K., &amp; </w:t>
      </w:r>
      <w:proofErr w:type="spellStart"/>
      <w:r w:rsidRPr="00513AF9">
        <w:rPr>
          <w:color w:val="0F1115"/>
          <w:sz w:val="28"/>
          <w:szCs w:val="28"/>
          <w:lang w:val="en-US"/>
        </w:rPr>
        <w:t>Joo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, J. (2021). </w:t>
      </w:r>
      <w:proofErr w:type="spellStart"/>
      <w:r w:rsidRPr="00513AF9">
        <w:rPr>
          <w:color w:val="0F1115"/>
          <w:sz w:val="28"/>
          <w:szCs w:val="28"/>
          <w:lang w:val="en-US"/>
        </w:rPr>
        <w:t>FairFace</w:t>
      </w:r>
      <w:proofErr w:type="spellEnd"/>
      <w:r w:rsidRPr="00513AF9">
        <w:rPr>
          <w:color w:val="0F1115"/>
          <w:sz w:val="28"/>
          <w:szCs w:val="28"/>
          <w:lang w:val="en-US"/>
        </w:rPr>
        <w:t>: Face attribute dataset for balanced race, gender, and age. </w:t>
      </w:r>
      <w:r w:rsidRPr="00513AF9">
        <w:rPr>
          <w:rStyle w:val="a4"/>
          <w:rFonts w:eastAsiaTheme="majorEastAsia"/>
          <w:color w:val="0F1115"/>
          <w:sz w:val="28"/>
          <w:szCs w:val="28"/>
          <w:lang w:val="en-US"/>
        </w:rPr>
        <w:t>Proceedings of the IEEE/CVF Winter Conference on Applications of Computer Vision (WACV)</w:t>
      </w:r>
      <w:r w:rsidRPr="00513AF9">
        <w:rPr>
          <w:color w:val="0F1115"/>
          <w:sz w:val="28"/>
          <w:szCs w:val="28"/>
          <w:lang w:val="en-US"/>
        </w:rPr>
        <w:t>, 1548–1558.</w:t>
      </w:r>
    </w:p>
    <w:p w14:paraId="3AF26527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</w:rPr>
        <w:t>Хомяков, М. Ю. (2020). Классификация цвета кожи и возрастных изменений лица. </w:t>
      </w:r>
      <w:r w:rsidRPr="00513AF9">
        <w:rPr>
          <w:rStyle w:val="a4"/>
          <w:rFonts w:eastAsiaTheme="majorEastAsia"/>
          <w:color w:val="0F1115"/>
          <w:sz w:val="28"/>
          <w:szCs w:val="28"/>
        </w:rPr>
        <w:t>Диссертация на соискание учёной степени кандидата технических наук</w:t>
      </w:r>
      <w:r w:rsidRPr="00513AF9">
        <w:rPr>
          <w:color w:val="0F1115"/>
          <w:sz w:val="28"/>
          <w:szCs w:val="28"/>
        </w:rPr>
        <w:t>. Москва.</w:t>
      </w:r>
    </w:p>
    <w:p w14:paraId="001F6EED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513AF9">
        <w:rPr>
          <w:color w:val="0F1115"/>
          <w:sz w:val="28"/>
          <w:szCs w:val="28"/>
        </w:rPr>
        <w:t>Штекин</w:t>
      </w:r>
      <w:proofErr w:type="spellEnd"/>
      <w:r w:rsidRPr="00513AF9">
        <w:rPr>
          <w:color w:val="0F1115"/>
          <w:sz w:val="28"/>
          <w:szCs w:val="28"/>
        </w:rPr>
        <w:t xml:space="preserve">, С. Е., &amp; Карачёв, Д. К. (2022). Анализ смещений в </w:t>
      </w:r>
      <w:proofErr w:type="spellStart"/>
      <w:r w:rsidRPr="00513AF9">
        <w:rPr>
          <w:color w:val="0F1115"/>
          <w:sz w:val="28"/>
          <w:szCs w:val="28"/>
        </w:rPr>
        <w:t>датасетах</w:t>
      </w:r>
      <w:proofErr w:type="spellEnd"/>
      <w:r w:rsidRPr="00513AF9">
        <w:rPr>
          <w:color w:val="0F1115"/>
          <w:sz w:val="28"/>
          <w:szCs w:val="28"/>
        </w:rPr>
        <w:t xml:space="preserve"> лиц для задачи оценки возраста. </w:t>
      </w:r>
      <w:r w:rsidRPr="00513AF9">
        <w:rPr>
          <w:rStyle w:val="a4"/>
          <w:rFonts w:eastAsiaTheme="majorEastAsia"/>
          <w:color w:val="0F1115"/>
          <w:sz w:val="28"/>
          <w:szCs w:val="28"/>
        </w:rPr>
        <w:t>Труды Института системного программирования РАН</w:t>
      </w:r>
      <w:r w:rsidRPr="00513AF9">
        <w:rPr>
          <w:color w:val="0F1115"/>
          <w:sz w:val="28"/>
          <w:szCs w:val="28"/>
        </w:rPr>
        <w:t>, 34(2), 45–58.</w:t>
      </w:r>
    </w:p>
    <w:p w14:paraId="50EF20D6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513AF9">
        <w:rPr>
          <w:color w:val="0F1115"/>
          <w:sz w:val="28"/>
          <w:szCs w:val="28"/>
          <w:lang w:val="en-US"/>
        </w:rPr>
        <w:t>Zhang, Y., Liu, H., &amp; Wang, L. (2023). Age-aware calibration for fair face age estimation. </w:t>
      </w:r>
      <w:r w:rsidRPr="00513AF9">
        <w:rPr>
          <w:rStyle w:val="a4"/>
          <w:rFonts w:eastAsiaTheme="majorEastAsia"/>
          <w:color w:val="0F1115"/>
          <w:sz w:val="28"/>
          <w:szCs w:val="28"/>
          <w:lang w:val="en-US"/>
        </w:rPr>
        <w:t>Proceedings of the IEEE/CVF Conference on Computer Vision and Pattern Recognition Workshops (CVPRW)</w:t>
      </w:r>
      <w:r w:rsidRPr="00513AF9">
        <w:rPr>
          <w:color w:val="0F1115"/>
          <w:sz w:val="28"/>
          <w:szCs w:val="28"/>
          <w:lang w:val="en-US"/>
        </w:rPr>
        <w:t>, 1234–1243.</w:t>
      </w:r>
    </w:p>
    <w:p w14:paraId="00CB8811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  <w:lang w:val="en-US"/>
        </w:rPr>
        <w:t>Liang, X., Chen, Y., &amp; Li, Z. (2022). Vision transformers for face age estimation: Token-level adaptation. </w:t>
      </w:r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IEEE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Transactions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on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Biometrics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,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Behavior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,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and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Identity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Science</w:t>
      </w:r>
      <w:proofErr w:type="spellEnd"/>
      <w:r w:rsidRPr="00513AF9">
        <w:rPr>
          <w:color w:val="0F1115"/>
          <w:sz w:val="28"/>
          <w:szCs w:val="28"/>
        </w:rPr>
        <w:t>, 4(3), 312–324.</w:t>
      </w:r>
    </w:p>
    <w:p w14:paraId="1B2F9945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  <w:lang w:val="en-US"/>
        </w:rPr>
        <w:t>Ryu, H., Kim, S., &amp; Lee, J. (2021). Bias mitigation in face age estimation: A survey. </w:t>
      </w:r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IEEE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Access</w:t>
      </w:r>
      <w:proofErr w:type="spellEnd"/>
      <w:r w:rsidRPr="00513AF9">
        <w:rPr>
          <w:color w:val="0F1115"/>
          <w:sz w:val="28"/>
          <w:szCs w:val="28"/>
        </w:rPr>
        <w:t>, 9, 145678–145692.</w:t>
      </w:r>
    </w:p>
    <w:p w14:paraId="0C179C2D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  <w:lang w:val="en-US"/>
        </w:rPr>
        <w:t xml:space="preserve">Singh, R., &amp; </w:t>
      </w:r>
      <w:proofErr w:type="spellStart"/>
      <w:r w:rsidRPr="00513AF9">
        <w:rPr>
          <w:color w:val="0F1115"/>
          <w:sz w:val="28"/>
          <w:szCs w:val="28"/>
          <w:lang w:val="en-US"/>
        </w:rPr>
        <w:t>Vatsa</w:t>
      </w:r>
      <w:proofErr w:type="spellEnd"/>
      <w:r w:rsidRPr="00513AF9">
        <w:rPr>
          <w:color w:val="0F1115"/>
          <w:sz w:val="28"/>
          <w:szCs w:val="28"/>
          <w:lang w:val="en-US"/>
        </w:rPr>
        <w:t>, M. (2024). Bias in biometrics: A comprehensive review. </w:t>
      </w:r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IEEE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Transactions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on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Information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Forensics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and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Security</w:t>
      </w:r>
      <w:proofErr w:type="spellEnd"/>
      <w:r w:rsidRPr="00513AF9">
        <w:rPr>
          <w:color w:val="0F1115"/>
          <w:sz w:val="28"/>
          <w:szCs w:val="28"/>
        </w:rPr>
        <w:t>, 19, 2345–2360.</w:t>
      </w:r>
    </w:p>
    <w:p w14:paraId="00CF1A7E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  <w:lang w:val="en-US"/>
        </w:rPr>
        <w:t>Peng, X., Wang, Y., &amp; Zhang, Q. (2021). Federated learning for privacy-preserving age estimation. 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Proceedings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of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the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AAAI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Conference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on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Artificial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Intelligence</w:t>
      </w:r>
      <w:proofErr w:type="spellEnd"/>
      <w:r w:rsidRPr="00513AF9">
        <w:rPr>
          <w:color w:val="0F1115"/>
          <w:sz w:val="28"/>
          <w:szCs w:val="28"/>
        </w:rPr>
        <w:t>, 35(11), 9876–9884.</w:t>
      </w:r>
    </w:p>
    <w:p w14:paraId="24380F15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  <w:lang w:val="en-US"/>
        </w:rPr>
        <w:t xml:space="preserve">Deng, J., Guo, J., &amp; </w:t>
      </w:r>
      <w:proofErr w:type="spellStart"/>
      <w:r w:rsidRPr="00513AF9">
        <w:rPr>
          <w:color w:val="0F1115"/>
          <w:sz w:val="28"/>
          <w:szCs w:val="28"/>
          <w:lang w:val="en-US"/>
        </w:rPr>
        <w:t>Zafeiriou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, S. (2023). </w:t>
      </w:r>
      <w:proofErr w:type="spellStart"/>
      <w:r w:rsidRPr="00513AF9">
        <w:rPr>
          <w:color w:val="0F1115"/>
          <w:sz w:val="28"/>
          <w:szCs w:val="28"/>
          <w:lang w:val="en-US"/>
        </w:rPr>
        <w:t>UTKFace</w:t>
      </w:r>
      <w:proofErr w:type="spellEnd"/>
      <w:r w:rsidRPr="00513AF9">
        <w:rPr>
          <w:color w:val="0F1115"/>
          <w:sz w:val="28"/>
          <w:szCs w:val="28"/>
          <w:lang w:val="en-US"/>
        </w:rPr>
        <w:t xml:space="preserve"> revisited: A large-scale dataset for face age estimation. </w:t>
      </w:r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IEEE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Transactions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on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Pattern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Analysis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and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Machine</w:t>
      </w:r>
      <w:proofErr w:type="spellEnd"/>
      <w:r w:rsidRPr="00513AF9">
        <w:rPr>
          <w:rStyle w:val="a4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513AF9">
        <w:rPr>
          <w:rStyle w:val="a4"/>
          <w:rFonts w:eastAsiaTheme="majorEastAsia"/>
          <w:color w:val="0F1115"/>
          <w:sz w:val="28"/>
          <w:szCs w:val="28"/>
        </w:rPr>
        <w:t>Intelligence</w:t>
      </w:r>
      <w:proofErr w:type="spellEnd"/>
      <w:r w:rsidRPr="00513AF9">
        <w:rPr>
          <w:color w:val="0F1115"/>
          <w:sz w:val="28"/>
          <w:szCs w:val="28"/>
        </w:rPr>
        <w:t>, 45(6), 7123–7137.</w:t>
      </w:r>
    </w:p>
    <w:p w14:paraId="15A75669" w14:textId="77777777" w:rsidR="00513AF9" w:rsidRPr="00513AF9" w:rsidRDefault="00513AF9" w:rsidP="00513AF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513AF9">
        <w:rPr>
          <w:color w:val="0F1115"/>
          <w:sz w:val="28"/>
          <w:szCs w:val="28"/>
          <w:lang w:val="en-US"/>
        </w:rPr>
        <w:t>Zhang, Z., Song, Y., &amp; Qi, H. (2017). Age progression/regression by conditional adversarial autoencoder. </w:t>
      </w:r>
      <w:r w:rsidRPr="00513AF9">
        <w:rPr>
          <w:rStyle w:val="a4"/>
          <w:rFonts w:eastAsiaTheme="majorEastAsia"/>
          <w:color w:val="0F1115"/>
          <w:sz w:val="28"/>
          <w:szCs w:val="28"/>
          <w:lang w:val="en-US"/>
        </w:rPr>
        <w:t>Proceedings of the IEEE Conference on Computer Vision and Pattern Recognition (CVPR)</w:t>
      </w:r>
      <w:r w:rsidRPr="00513AF9">
        <w:rPr>
          <w:color w:val="0F1115"/>
          <w:sz w:val="28"/>
          <w:szCs w:val="28"/>
          <w:lang w:val="en-US"/>
        </w:rPr>
        <w:t xml:space="preserve">, 5810–5818. </w:t>
      </w:r>
      <w:r w:rsidRPr="00513AF9">
        <w:rPr>
          <w:color w:val="0F1115"/>
          <w:sz w:val="28"/>
          <w:szCs w:val="28"/>
        </w:rPr>
        <w:t xml:space="preserve">(оригинальная работа по </w:t>
      </w:r>
      <w:proofErr w:type="spellStart"/>
      <w:r w:rsidRPr="00513AF9">
        <w:rPr>
          <w:color w:val="0F1115"/>
          <w:sz w:val="28"/>
          <w:szCs w:val="28"/>
        </w:rPr>
        <w:t>UTKFace</w:t>
      </w:r>
      <w:proofErr w:type="spellEnd"/>
      <w:r w:rsidRPr="00513AF9">
        <w:rPr>
          <w:color w:val="0F1115"/>
          <w:sz w:val="28"/>
          <w:szCs w:val="28"/>
        </w:rPr>
        <w:t>)</w:t>
      </w:r>
    </w:p>
    <w:p w14:paraId="317B1E60" w14:textId="4FAAC333" w:rsidR="00513AF9" w:rsidRPr="00513AF9" w:rsidRDefault="00513AF9" w:rsidP="00513A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EAF60CD" w14:textId="77777777" w:rsidR="00194E9D" w:rsidRDefault="00194E9D"/>
    <w:sectPr w:rsidR="00194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51E44"/>
    <w:multiLevelType w:val="multilevel"/>
    <w:tmpl w:val="BF24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3103"/>
    <w:multiLevelType w:val="multilevel"/>
    <w:tmpl w:val="EC4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33C77"/>
    <w:multiLevelType w:val="multilevel"/>
    <w:tmpl w:val="B41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62B20"/>
    <w:multiLevelType w:val="multilevel"/>
    <w:tmpl w:val="3BE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811EC"/>
    <w:multiLevelType w:val="multilevel"/>
    <w:tmpl w:val="72E2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8F"/>
    <w:rsid w:val="00194E9D"/>
    <w:rsid w:val="0021328F"/>
    <w:rsid w:val="003826B9"/>
    <w:rsid w:val="0051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55E7"/>
  <w15:chartTrackingRefBased/>
  <w15:docId w15:val="{E55C8D12-DA31-4ED2-AB2B-184A15EB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13A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A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3A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13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13AF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13A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Emphasis"/>
    <w:basedOn w:val="a0"/>
    <w:uiPriority w:val="20"/>
    <w:qFormat/>
    <w:rsid w:val="00513A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48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2026-10-10T19:53:00Z</dcterms:created>
  <dcterms:modified xsi:type="dcterms:W3CDTF">2026-10-10T20:03:00Z</dcterms:modified>
</cp:coreProperties>
</file>