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Traduzido do Inglês para o Português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Traduzido do Inglês para o Português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>
      <w:pPr>
        <w:pStyle w:val="Normal"/>
        <w:snapToGrid w:val="false"/>
        <w:rPr>
          <w:rFonts w:cs="Arial"/>
        </w:rPr>
      </w:pPr>
      <w:r>
        <w:rPr>
          <w:rFonts w:cs="Arial"/>
        </w:rPr>
      </w:r>
      <w:r>
        <mc:AlternateContent>
          <mc:Choice Requires="wps">
            <w:drawing>
              <wp:anchor behindDoc="0" distT="0" distB="0" distL="0" distR="90170" simplePos="0" locked="0" layoutInCell="0" allowOverlap="1" relativeHeight="3">
                <wp:simplePos x="0" y="0"/>
                <wp:positionH relativeFrom="column">
                  <wp:posOffset>-78105</wp:posOffset>
                </wp:positionH>
                <wp:positionV relativeFrom="paragraph">
                  <wp:posOffset>635</wp:posOffset>
                </wp:positionV>
                <wp:extent cx="6256655" cy="1069213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6655" cy="106921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9853" w:type="dxa"/>
                              <w:jc w:val="start"/>
                              <w:tblInd w:w="-15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2264"/>
                              <w:gridCol w:w="7589"/>
                            </w:tblGrid>
                            <w:tr>
                              <w:trPr>
                                <w:trHeight w:val="14915" w:hRule="atLeast"/>
                              </w:trPr>
                              <w:tc>
                                <w:tcPr>
                                  <w:tcW w:w="2264" w:type="dxa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Bun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  <w:bookmarkStart w:id="0" w:name="OLE_LINK4"/>
                                  <w:bookmarkStart w:id="1" w:name="OLE_LINK3"/>
                                  <w:bookmarkStart w:id="2" w:name="OLE_LINK28"/>
                                  <w:bookmarkStart w:id="3" w:name="OLE_LINK27"/>
                                  <w:bookmarkStart w:id="4" w:name="OLE_LINK4"/>
                                  <w:bookmarkStart w:id="5" w:name="OLE_LINK3"/>
                                  <w:bookmarkStart w:id="6" w:name="OLE_LINK28"/>
                                  <w:bookmarkStart w:id="7" w:name="OLE_LINK27"/>
                                  <w:bookmarkEnd w:id="4"/>
                                  <w:bookmarkEnd w:id="5"/>
                                  <w:bookmarkEnd w:id="6"/>
                                  <w:bookmarkEnd w:id="7"/>
                                </w:p>
                                <w:p>
                                  <w:pPr>
                                    <w:pStyle w:val="11"/>
                                    <w:rPr>
                                      <w:kern w:val="2"/>
                                    </w:rPr>
                                  </w:pPr>
                                  <w:bookmarkStart w:id="8" w:name="OLE_LINK28"/>
                                  <w:bookmarkStart w:id="9" w:name="OLE_LINK27"/>
                                  <w:bookmarkEnd w:id="8"/>
                                  <w:bookmarkEnd w:id="9"/>
                                  <w:r>
                                    <w:rPr>
                                      <w:kern w:val="2"/>
                                    </w:rPr>
                                    <w:t>1. Propósito</w:t>
                                    <w:tab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11"/>
                                    <w:rPr>
                                      <w:kern w:val="2"/>
                                    </w:rPr>
                                  </w:pPr>
                                  <w:r>
                                    <w:rPr>
                                      <w:kern w:val="2"/>
                                    </w:rPr>
                                    <w:t>2. Âmbito</w:t>
                                    <w:tab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11"/>
                                    <w:rPr/>
                                  </w:pPr>
                                  <w:r>
                                    <w:rPr>
                                      <w:kern w:val="2"/>
                                    </w:rPr>
                                    <w:t>3. Estabelecimento, revisão</w:t>
                                    <w:tab/>
                                  </w:r>
                                  <w:r>
                                    <w:rPr>
                                      <w:kern w:val="2"/>
                                    </w:rPr>
                                    <w:t>, abolição e promulgação</w:t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11"/>
                                    <w:rPr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kern w:val="2"/>
                                    </w:rPr>
                                    <w:t xml:space="preserve">4.</w:t>
                                  </w:r>
                                  <w:r>
                                    <w:rPr>
                                      <w:kern w:val="2"/>
                                    </w:rPr>
                                    <w:tab/>
                                  </w:r>
                                  <w:r>
                                    <w:rPr>
                                      <w:kern w:val="2"/>
                                    </w:rPr>
                                    <w:t>Tipo de Educação e Treinamento</w:t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highlight w:val="yellow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highlight w:val="yellow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highlight w:val="yellow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highlight w:val="yellow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highlight w:val="yellow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highlight w:val="yellow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highlight w:val="yellow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highlight w:val="yellow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highlight w:val="yellow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highlight w:val="yellow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highlight w:val="yellow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highlight w:val="yellow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kern w:val="2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kern w:val="2"/>
                                      <w:highlight w:val="yellow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kern w:val="2"/>
                                    </w:rPr>
                                  </w:pPr>
                                  <w:r>
                                    <w:rPr>
                                      <w:kern w:val="2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kern w:val="2"/>
                                    </w:rPr>
                                  </w:pPr>
                                  <w:r>
                                    <w:rPr>
                                      <w:kern w:val="2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kern w:val="2"/>
                                    </w:rPr>
                                  </w:pPr>
                                  <w:r>
                                    <w:rPr>
                                      <w:kern w:val="2"/>
                                    </w:rPr>
                                  </w:r>
                                </w:p>
                                <w:p>
                                  <w:pPr>
                                    <w:pStyle w:val="111"/>
                                    <w:rPr/>
                                  </w:pPr>
                                  <w:r>
                                    <w:rPr/>
                                    <w:t xml:space="preserve">4.1.</w:t>
                                  </w:r>
                                  <w:r>
                                    <w:rPr/>
                                    <w:tab/>
                                  </w:r>
                                  <w:r>
                                    <w:rPr/>
                                    <w:t>Educação geral e treinamento</w:t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111"/>
                                    <w:rPr/>
                                  </w:pPr>
                                  <w:r>
                                    <w:rPr/>
                                    <w:t xml:space="preserve">4.2.</w:t>
                                  </w:r>
                                  <w:r>
                                    <w:rPr/>
                                    <w:tab/>
                                  </w:r>
                                  <w:r>
                                    <w:rPr/>
                                    <w:t>Educação e Treinamento Profissional</w:t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11"/>
                                    <w:rPr/>
                                  </w:pPr>
                                  <w:r>
                                    <w:rPr/>
                                    <w:t>5.</w:t>
                                  </w:r>
                                  <w:r>
                                    <w:rPr/>
                                    <w:tab/>
                                  </w:r>
                                  <w:r>
                                    <w:rPr/>
                                    <w:t>Esclareça e entenda a capacidade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kern w:val="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kern w:val="2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/>
                                  </w:pPr>
                                  <w:r>
                                    <w:rPr/>
                                    <w:t xml:space="preserve">6.</w:t>
                                  </w:r>
                                  <w:r>
                                    <w:rPr/>
                                    <w:tab/>
                                  </w:r>
                                  <w:r>
                                    <w:rPr/>
                                    <w:t xml:space="preserve">Planejamento / implementação e acompanhamento</w:t>
                                  </w:r>
                                </w:p>
                                <w:p>
                                  <w:pPr>
                                    <w:pStyle w:val="111"/>
                                    <w:rPr/>
                                  </w:pPr>
                                  <w:r>
                                    <w:rPr/>
                                    <w:t xml:space="preserve">6.1</w:t>
                                  </w:r>
                                  <w:r>
                                    <w:rPr/>
                                    <w:tab/>
                                  </w:r>
                                  <w:r>
                                    <w:rPr/>
                                    <w:t xml:space="preserve">Desenvolvimento e implementação do plano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11"/>
                                    <w:rPr/>
                                  </w:pPr>
                                  <w:r>
                                    <w:rPr/>
                                    <w:t xml:space="preserve">6.2</w:t>
                                  </w:r>
                                  <w:r>
                                    <w:rPr/>
                                    <w:tab/>
                                  </w:r>
                                  <w:r>
                                    <w:rPr/>
                                    <w:t>Avaliação da eficácia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11"/>
                                    <w:rPr/>
                                  </w:pPr>
                                  <w:r>
                                    <w:rPr/>
                                    <w:t xml:space="preserve">6.3</w:t>
                                  </w:r>
                                  <w:r>
                                    <w:rPr/>
                                    <w:tab/>
                                  </w:r>
                                  <w:r>
                                    <w:rPr/>
                                    <w:t>Credenciamento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/>
                                  </w:pPr>
                                  <w:r>
                                    <w:rPr/>
                                    <w:t xml:space="preserve">7.</w:t>
                                  </w:r>
                                  <w:r>
                                    <w:rPr/>
                                    <w:tab/>
                                  </w:r>
                                  <w:r>
                                    <w:rPr/>
                                    <w:t xml:space="preserve">Instrutora de educação e treinamento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/>
                                  </w:pPr>
                                  <w:r>
                                    <w:rPr/>
                                    <w:t xml:space="preserve">8.</w:t>
                                  </w:r>
                                  <w:r>
                                    <w:rPr/>
                                    <w:tab/>
                                  </w:r>
                                  <w:r>
                                    <w:rPr/>
                                    <w:t xml:space="preserve">Criação e armazenamento de registros</w:t>
                                  </w:r>
                                </w:p>
                                <w:p>
                                  <w:pPr>
                                    <w:pStyle w:val="111"/>
                                    <w:rPr/>
                                  </w:pPr>
                                  <w:r>
                                    <w:rPr/>
                                    <w:t>8.1</w:t>
                                  </w:r>
                                  <w:r>
                                    <w:rPr/>
                                    <w:tab/>
                                  </w:r>
                                  <w:r>
                                    <w:rPr/>
                                    <w:t xml:space="preserve">Criação de registros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11"/>
                                    <w:rPr/>
                                  </w:pPr>
                                  <w:r>
                                    <w:rPr/>
                                    <w:t xml:space="preserve">8.2</w:t>
                                  </w:r>
                                  <w:r>
                                    <w:rPr/>
                                    <w:tab/>
                                  </w:r>
                                  <w:r>
                                    <w:rPr/>
                                    <w:t xml:space="preserve">Armazenamento de registros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/>
                                  </w:pPr>
                                  <w:r>
                                    <w:rPr/>
                                    <w:t>9.</w:t>
                                  </w:r>
                                  <w:r>
                                    <w:rPr/>
                                    <w:tab/>
                                  </w:r>
                                  <w:r>
                                    <w:rPr/>
                                    <w:t>Outros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/>
                                  </w:pPr>
                                  <w:r>
                                    <w:rPr/>
                                    <w:t xml:space="preserve">10. Recursos relacionados</w:t>
                                  </w:r>
                                </w:p>
                              </w:tc>
                              <w:tc>
                                <w:tcPr>
                                  <w:tcW w:w="7589" w:type="dxa"/>
                                  <w:tcBorders>
                                    <w:top w:val="single" w:sz="12" w:space="0" w:color="000000"/>
                                    <w:start w:val="single" w:sz="8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Bun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  <w:t xml:space="preserve">O objetivo destas regras é estabelecer algumas diretrizes, em conformidade com as "Regras de Treinamento" (APQ-AT-001) da Empresa de Eletrodomésticos, Panasonic Corporation (doravante denominada "Empresa AP"), que devem ser cumpridas e executadas para definir os detalhes de educação e treinamento para o pessoal de fabricação e executar a educação e treinamento.</w:t>
                                  </w:r>
                                  <w:bookmarkStart w:id="10" w:name="OLE_LINK19"/>
                                  <w:bookmarkStart w:id="11" w:name="OLE_LINK18"/>
                                  <w:bookmarkStart w:id="12" w:name="OLE_LINK2"/>
                                  <w:bookmarkStart w:id="13" w:name="OLE_LINK1"/>
                                  <w:bookmarkEnd w:id="10"/>
                                  <w:bookmarkEnd w:id="11"/>
                                  <w:bookmarkEnd w:id="12"/>
                                  <w:bookmarkEnd w:id="13"/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  <w:t xml:space="preserve">Essas regras devem ser aplicadas a todos os funcionários envolvidos no Departamento de Fabricação da AP Company. Essas regras também devem ser aplicadas a outros trabalhadores além dos funcionários da AP Company, como trabalhadores temporários e contratados, etc., quando seu trabalho estiver envolvido no Departamento de Fabricação.</w:t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  <w:t xml:space="preserve">Essas regras serão estabelecidas, revisadas e abolidas pelo CMO da AP Company e promulgadas pelo diretor da Divisão de Inovação Corporativa de Manufatura.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  <w:t xml:space="preserve">O tipo de Educação e Treinamento para o pessoal de manufatura é classificado em Educação e Treinamento Geral e Educação e Treinamento Profissional.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lang w:val="en-US" w:eastAsia="en-US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rFonts w:cs="Arial"/>
                                      <w:sz w:val="20"/>
                                      <w:szCs w:val="20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  <w:highlight w:val="yellow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  <w:t>Educação Geral e Treinamento significa cursos de treinamento promovidos por outros que não o Departamento de Fabricação, como o Departamento de Recursos Humanos, Sede da Função e Empresa de Desenvolvimento de Recursos Humanos.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kern w:val="2"/>
                                      <w:sz w:val="20"/>
                                      <w:szCs w:val="20"/>
                                    </w:rPr>
                                    <w:t>Para obter detalhes, consulte "Estrutura de treinamento e educação da empresa AP" (Anexo 1) fornecido pelas "Regras de treinamento" (APQ-AT-001).</w:t>
                                  </w:r>
                                  <w:bookmarkStart w:id="14" w:name="OLE_LINK13"/>
                                  <w:bookmarkStart w:id="15" w:name="OLE_LINK12"/>
                                  <w:bookmarkStart w:id="16" w:name="OLE_LINK23"/>
                                  <w:bookmarkStart w:id="17" w:name="OLE_LINK22"/>
                                  <w:bookmarkEnd w:id="14"/>
                                  <w:bookmarkEnd w:id="15"/>
                                  <w:bookmarkEnd w:id="16"/>
                                  <w:bookmarkEnd w:id="17"/>
                                </w:p>
                                <w:p>
                                  <w:pPr>
                                    <w:pStyle w:val="Bun"/>
                                    <w:rPr>
                                      <w:rFonts w:cs="Arial"/>
                                      <w:sz w:val="20"/>
                                      <w:szCs w:val="20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  <w:highlight w:val="yellow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  <w:t xml:space="preserve">Educação e Formação Profissional significa Formação Profissional para trabalhadores em geral, liderada pelo Departamento de Fabricação; Educação e Treinamento para processos e operações que requerem qualificação e credenciamento, e Educação e Treinamento para obtenção das qualificações necessárias à condução de operações elementares. Cada divisão e local deve esclarecer os detalhes de sua educação em segurança do produto e treinamento de habilidades, etc. O processo principal e as operações que requerem credenciamento são descritos a seguir, e seus detalhes devem ser estabelecidos por cada divisão e local.</w:t>
                                  </w:r>
                                  <w:bookmarkStart w:id="18" w:name="OLE_LINK11"/>
                                  <w:bookmarkStart w:id="19" w:name="OLE_LINK10"/>
                                </w:p>
                                <w:p>
                                  <w:pPr>
                                    <w:pStyle w:val="Ten"/>
                                    <w:snapToGrid w:val="false"/>
                                    <w:ind w:start="862" w:hanging="227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szCs w:val="20"/>
                                    </w:rPr>
                                    <w:tab/>
                                    <w:t>Processo de segurança</w:t>
                                  </w:r>
                                </w:p>
                                <w:p>
                                  <w:pPr>
                                    <w:pStyle w:val="Ten"/>
                                    <w:snapToGrid w:val="false"/>
                                    <w:ind w:start="862" w:hanging="227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szCs w:val="20"/>
                                    </w:rPr>
                                    <w:tab/>
                                    <w:t>Processo especial</w:t>
                                  </w:r>
                                </w:p>
                                <w:p>
                                  <w:pPr>
                                    <w:pStyle w:val="Ten"/>
                                    <w:snapToGrid w:val="false"/>
                                    <w:ind w:start="862" w:hanging="227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szCs w:val="20"/>
                                    </w:rPr>
                                    <w:tab/>
                                    <w:t>Processo antiestático</w:t>
                                  </w:r>
                                </w:p>
                                <w:p>
                                  <w:pPr>
                                    <w:pStyle w:val="Ten"/>
                                    <w:snapToGrid w:val="false"/>
                                    <w:ind w:start="862" w:hanging="227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szCs w:val="20"/>
                                    </w:rPr>
                                    <w:tab/>
                                    <w:t>Processo de inspeção</w:t>
                                  </w:r>
                                </w:p>
                                <w:p>
                                  <w:pPr>
                                    <w:pStyle w:val="Ten"/>
                                    <w:snapToGrid w:val="false"/>
                                    <w:ind w:start="862" w:hanging="227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szCs w:val="20"/>
                                    </w:rPr>
                                    <w:tab/>
                                    <w:t>Análise e manutenção</w:t>
                                  </w:r>
                                </w:p>
                                <w:p>
                                  <w:pPr>
                                    <w:pStyle w:val="Ten"/>
                                    <w:snapToGrid w:val="false"/>
                                    <w:ind w:start="862" w:hanging="227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szCs w:val="20"/>
                                    </w:rPr>
                                    <w:tab/>
                                    <w:t>Outros, onde as qualificações do governo são necessárias para a realização de operações</w:t>
                                  </w:r>
                                </w:p>
                                <w:p>
                                  <w:pPr>
                                    <w:pStyle w:val="Ten"/>
                                    <w:snapToGrid w:val="false"/>
                                    <w:ind w:start="862" w:hanging="227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szCs w:val="20"/>
                                    </w:rPr>
                                    <w:t>(como líder de equipe, motorista de empilhadeira e operador de soldagem que exigem licenças)</w:t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bookmarkEnd w:id="18"/>
                                  <w:bookmarkEnd w:id="19"/>
                                  <w:r>
                                    <w:rPr/>
                                    <w:t>As pessoas responsáveis ​​dentro das seções do Departamento de Fabricação devem esclarecer a capacidade (conhecimento e habilidade) necessária para cada função e verificar a capacidade de cada funcionário que está envolvido regularmente (mais de uma vez por ano), em seguida, resumir os resultados nas "Requisitos/Lista de Capacidades e Cronograma de Treinamento/Lista de Resultados" (Anexo 2-1) fornecido pelas "Regras de Treinamento" (APQ-AT-001). Um estilo de formulário individual de cada divisão e local também é aceitável, desde que se refira ao Anexo 2-1 e os mesmos conteúdos sejam listados.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"/>
                                    <w:ind w:start="702" w:hanging="484"/>
                                    <w:rPr/>
                                  </w:pPr>
                                  <w:r>
                                    <w:rPr/>
                                    <w:t>(1)</w:t>
                                  </w:r>
                                  <w:r>
                                    <w:rPr/>
                                    <w:tab/>
                                  </w:r>
                                  <w:r>
                                    <w:rPr/>
                                    <w:t xml:space="preserve">Para treinar a equipe de fabricação, as pessoas responsáveis ​​nas seções do Departamento de Fabricação devem ter entrevistas regulares (mais de uma vez por ano) com a equipe de fabricação para aplicar o treinamento pessoal com base em um cronograma de treinamento pessoal de acordo com a Estrutura de Treinamento e Educação da Empresa AP. Ao mesmo tempo, para melhorar a capacidade do pessoal, estabelecer Educação e Treinamento Profissional, como Educação e Treinamento para obter as qualificações governamentais necessárias para conduzir operações e certificar operações, então resumir o plano de educação e treinamento para o ano nos "Requisitos / Lista de Capacidades e Cronograma de Treinamento/Lista de Resultados" para fins de administração. No entanto, a Educação e Treinamento Profissional deve ser implementado conforme necessário, mesmo que não esteja listado no cronograma,</w:t>
                                  </w:r>
                                  <w:bookmarkStart w:id="20" w:name="OLE_LINK17"/>
                                  <w:bookmarkStart w:id="21" w:name="OLE_LINK16"/>
                                  <w:bookmarkEnd w:id="20"/>
                                  <w:bookmarkEnd w:id="21"/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"/>
                                    <w:ind w:start="702" w:hanging="484"/>
                                    <w:rPr/>
                                  </w:pPr>
                                  <w:r>
                                    <w:rPr/>
                                    <w:t xml:space="preserve">(2)</w:t>
                                  </w:r>
                                  <w:r>
                                    <w:rPr/>
                                    <w:tab/>
                                  </w:r>
                                  <w:r>
                                    <w:rPr/>
                                    <w:t xml:space="preserve">Para um trabalhador temporário descrito como outro trabalhador em 2. Âmbito, após verificação do período de despacho através de coordenação com o responsável pela empresa de despacho, verificação dos resultados de uma avaliação de desempenho e atribuição de postos de trabalho programados, a Educação e Formação Profissional que tenha determinado como necessário deve ser hospedado pela Panasonic Corporation. Para trabalhadores contratados, discuta antes do início do contrato ou discuta com o Comitê PSL, Educação e Treinamento Profissional devem ser implementados conforme necessário com base no acordo. Para obter detalhes, consulte "Normas de gerenciamento de subcontratados" (APQ-BM-011).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  <w:t>Os responsáveis ​​das seções do Departamento de Fabricação devem avaliar os trabalhadores que receberam educação e treinamento para verificar se atingiram o nível da meta programada.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300" w:hanging="300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"/>
                                    <w:ind w:start="702" w:hanging="484"/>
                                    <w:rPr/>
                                  </w:pPr>
                                  <w:r>
                                    <w:rPr/>
                                    <w:t xml:space="preserve">(1)</w:t>
                                  </w:r>
                                  <w:r>
                                    <w:rPr/>
                                    <w:tab/>
                                  </w:r>
                                  <w:r>
                                    <w:rPr/>
                                    <w:t xml:space="preserve">Avalie a educação geral, as qualificações e cursos do governo, etc., com base nos resultados de feedback e entrevistas, etc., para treinamento futuro.</w:t>
                                  </w:r>
                                </w:p>
                                <w:p>
                                  <w:pPr>
                                    <w:pStyle w:val="1"/>
                                    <w:ind w:start="702" w:hanging="484"/>
                                    <w:rPr/>
                                  </w:pPr>
                                  <w:r>
                                    <w:rPr/>
                                    <w:t xml:space="preserve">(2)</w:t>
                                  </w:r>
                                  <w:r>
                                    <w:rPr/>
                                    <w:tab/>
                                  </w:r>
                                  <w:r>
                                    <w:rPr/>
                                    <w:t>Avalie a eficácia do treinamento prático, como o treinamento de múltiplas habilidades de manuseio, monitorando seu desempenho no trabalho e realizando entrevistas, etc. Localize os resultados da avaliação em um mapa de habilidades.</w:t>
                                  </w:r>
                                </w:p>
                                <w:p>
                                  <w:pPr>
                                    <w:pStyle w:val="1"/>
                                    <w:ind w:start="702" w:hanging="484"/>
                                    <w:rPr/>
                                  </w:pPr>
                                  <w:r>
                                    <w:rPr/>
                                    <w:tab/>
                                  </w:r>
                                  <w:r>
                                    <w:rPr/>
                                    <w:t>Para manutenção de habilidades, consulte "Guia de Prática M-ALE".</w:t>
                                  </w:r>
                                </w:p>
                                <w:p>
                                  <w:pPr>
                                    <w:pStyle w:val="1"/>
                                    <w:ind w:start="702" w:hanging="484"/>
                                    <w:rPr/>
                                  </w:pPr>
                                  <w:r>
                                    <w:rPr/>
                                    <w:t xml:space="preserve">(3)</w:t>
                                  </w:r>
                                  <w:r>
                                    <w:rPr/>
                                    <w:tab/>
                                  </w:r>
                                  <w:r>
                                    <w:rPr/>
                                    <w:t>Para Educação e Treinamento Profissional para funcionários envolvidos em processos e operações que exijam qualificação e credenciamento, conforme descrito em 4.2, realizar testes após o treinamento para avaliar a eficácia da educação e treinamento. O conteúdo da educação, treinamento e testes, e os detalhes de como decidir se os resultados dos testes atendem aos padrões, devem ser definidos por cada divisão e local.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"/>
                                    <w:ind w:start="702" w:hanging="484"/>
                                    <w:rPr/>
                                  </w:pPr>
                                  <w:r>
                                    <w:rPr/>
                                    <w:t xml:space="preserve">(1)</w:t>
                                  </w:r>
                                  <w:r>
                                    <w:rPr/>
                                    <w:tab/>
                                  </w:r>
                                  <w:r>
                                    <w:rPr/>
                                    <w:t>Para os funcionários que tenham concluído a Formação e Formação Profissional necessária à acreditação, os responsáveis ​​das secções do Departamento de Fabricação devem certificá-los para registá-los juntamente com os seus resultados de formação e formação. Os critérios de acreditação devem ser definidos por cada divisão e local. Defina o período de validade para credenciamento em um ano; realizar educação e treinamento regulares para manter e melhorar o nível.</w:t>
                                  </w:r>
                                </w:p>
                                <w:p>
                                  <w:pPr>
                                    <w:pStyle w:val="1"/>
                                    <w:ind w:start="702" w:hanging="484"/>
                                    <w:rPr/>
                                  </w:pPr>
                                  <w:r>
                                    <w:rPr/>
                                    <w:t xml:space="preserve">(2)</w:t>
                                  </w:r>
                                  <w:r>
                                    <w:rPr/>
                                    <w:tab/>
                                  </w:r>
                                  <w:r>
                                    <w:rPr/>
                                    <w:t xml:space="preserve">Registrar funcionários que obtiveram qualificações governamentais e funcionários que concluíram cursos na "Lista de Requisitos/Capacidade e Cronograma de Treinamento/Lista de Resultados" com base em seus resultados.</w:t>
                                  </w:r>
                                  <w:bookmarkStart w:id="22" w:name="OLE_LINK8"/>
                                  <w:bookmarkStart w:id="23" w:name="OLE_LINK7"/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  <w:bookmarkEnd w:id="22"/>
                                  <w:bookmarkEnd w:id="23"/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  <w:t xml:space="preserve">O Instrutor de Educação e Treinamento Profissional deve ser alguém que seja aprovado como qualificado para instruir a educação e treinamento profissional relevante e que seja nomeado pelos responsáveis ​​nas seções do Departamento de Fabricação.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ind w:firstLine="104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  <w:t>Os responsáveis ​​nas seções do Departamento de Fabricação devem registrar o resultado na "Lista de Requisitos/Capacidade e Cronograma de Treinamento/Lista de Resultados" e no "Registro de Histórico de Treinamento e Educação Pessoal" (Anexo 3) fornecido pelas "Regras de Treinamento" ( APQ-AT-001) após a conclusão dos cursos, educação e treinamento, ou assim que souber do resultado do exame de qualificação. Um formulário de estilo individual de cada divisão e site também é aceito, desde que se refira ao Anexo 3 e os mesmos conteúdos sejam listados.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  <w:t xml:space="preserve">Os registros relacionados às regras desta operação devem ser arquivados de acordo com "Padrões de Controle de Documentos de Qualidade e Registros de Qualidade" (APQ-BG-001). Para registros não cobertos por provisões, cada divisão e local deve estabelecer regras para isso e armazená-las.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/>
                                    <w:t>Outros detalhes necessários devem ser esclarecidos nas regras e procedimentos de cada divisão e local.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24" w:name="OLE_LINK46"/>
                                  <w:bookmarkStart w:id="25" w:name="OLE_LINK47"/>
                                  <w:r>
                                    <w:rPr>
                                      <w:rFonts w:cs="Arial"/>
                                      <w:color w:val="000000"/>
                                      <w:kern w:val="2"/>
                                      <w:sz w:val="20"/>
                                      <w:szCs w:val="20"/>
                                    </w:rPr>
                                    <w:t>"Orientação de Prática M-ALE" (versão mais recente)</w:t>
                                  </w:r>
                                  <w:bookmarkEnd w:id="24"/>
                                  <w:bookmarkEnd w:id="25"/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ind w:start="2" w:hanging="19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hyperlink r:id="rId2">
                                    <w:r>
                                      <w:rPr>
                                        <w:rStyle w:val="InternetLink"/>
                                        <w:rFonts w:cs="Arial"/>
                                        <w:sz w:val="20"/>
                                        <w:szCs w:val="20"/>
                                      </w:rPr>
                                      <w:t>http://iweb.mei.co.jp/gcms/HACMS/DirectAccess?disp=WS20007R&amp;subpDocId=DOC00011581&amp;subpId=SBP033&amp;lang=ja&amp;ui=ja</w:t>
                                    </w:r>
                                  </w:hyperlink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92.65pt;height:841.9pt;mso-wrap-distance-left:0pt;mso-wrap-distance-right:7.1pt;mso-wrap-distance-top:0pt;mso-wrap-distance-bottom:0pt;margin-top:0.05pt;mso-position-vertical-relative:text;margin-left:-6.15pt;mso-position-horizontal-relative:text">
                <v:fill opacity="0f"/>
                <v:textbox inset="0in,0in,0in,0in">
                  <w:txbxContent>
                    <w:tbl>
                      <w:tblPr>
                        <w:tblW w:w="9853" w:type="dxa"/>
                        <w:jc w:val="start"/>
                        <w:tblInd w:w="-15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2264"/>
                        <w:gridCol w:w="7589"/>
                      </w:tblGrid>
                      <w:tr>
                        <w:trPr>
                          <w:trHeight w:val="14915" w:hRule="atLeast"/>
                        </w:trPr>
                        <w:tc>
                          <w:tcPr>
                            <w:tcW w:w="2264" w:type="dxa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8" w:space="0" w:color="000000"/>
                            </w:tcBorders>
                          </w:tcPr>
                          <w:p>
                            <w:pPr>
                              <w:pStyle w:val="Bun"/>
                              <w:snapToGrid w:val="false"/>
                              <w:rPr/>
                            </w:pPr>
                            <w:r>
                              <w:rPr/>
                            </w:r>
                            <w:bookmarkStart w:id="26" w:name="OLE_LINK4"/>
                            <w:bookmarkStart w:id="27" w:name="OLE_LINK3"/>
                            <w:bookmarkStart w:id="28" w:name="OLE_LINK28"/>
                            <w:bookmarkStart w:id="29" w:name="OLE_LINK27"/>
                            <w:bookmarkStart w:id="30" w:name="OLE_LINK4"/>
                            <w:bookmarkStart w:id="31" w:name="OLE_LINK3"/>
                            <w:bookmarkStart w:id="32" w:name="OLE_LINK28"/>
                            <w:bookmarkStart w:id="33" w:name="OLE_LINK27"/>
                            <w:bookmarkEnd w:id="30"/>
                            <w:bookmarkEnd w:id="31"/>
                            <w:bookmarkEnd w:id="32"/>
                            <w:bookmarkEnd w:id="33"/>
                          </w:p>
                          <w:p>
                            <w:pPr>
                              <w:pStyle w:val="11"/>
                              <w:rPr>
                                <w:kern w:val="2"/>
                              </w:rPr>
                            </w:pPr>
                            <w:bookmarkStart w:id="34" w:name="OLE_LINK28"/>
                            <w:bookmarkStart w:id="35" w:name="OLE_LINK27"/>
                            <w:bookmarkEnd w:id="34"/>
                            <w:bookmarkEnd w:id="35"/>
                            <w:r>
                              <w:rPr>
                                <w:kern w:val="2"/>
                              </w:rPr>
                              <w:t>1. Propósito</w:t>
                              <w:tab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11"/>
                              <w:rPr>
                                <w:kern w:val="2"/>
                              </w:rPr>
                            </w:pPr>
                            <w:r>
                              <w:rPr>
                                <w:kern w:val="2"/>
                              </w:rPr>
                              <w:t>2. Âmbito</w:t>
                              <w:tab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11"/>
                              <w:rPr/>
                            </w:pPr>
                            <w:r>
                              <w:rPr>
                                <w:kern w:val="2"/>
                              </w:rPr>
                              <w:t>3. Estabelecimento, revisão</w:t>
                              <w:tab/>
                            </w:r>
                            <w:r>
                              <w:rPr>
                                <w:kern w:val="2"/>
                              </w:rPr>
                              <w:t>, abolição e promulgação</w:t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11"/>
                              <w:rPr>
                                <w:highlight w:val="yellow"/>
                              </w:rPr>
                            </w:pPr>
                            <w:r>
                              <w:rPr>
                                <w:kern w:val="2"/>
                              </w:rPr>
                              <w:t xml:space="preserve">4.</w:t>
                            </w:r>
                            <w:r>
                              <w:rPr>
                                <w:kern w:val="2"/>
                              </w:rPr>
                              <w:tab/>
                            </w:r>
                            <w:r>
                              <w:rPr>
                                <w:kern w:val="2"/>
                              </w:rPr>
                              <w:t>Tipo de Educação e Treinamento</w:t>
                            </w:r>
                          </w:p>
                          <w:p>
                            <w:pPr>
                              <w:pStyle w:val="Bun"/>
                              <w:rPr>
                                <w:highlight w:val="yellow"/>
                              </w:rPr>
                            </w:pPr>
                            <w:r>
                              <w:rPr>
                                <w:highlight w:val="yellow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highlight w:val="yellow"/>
                              </w:rPr>
                            </w:pPr>
                            <w:r>
                              <w:rPr>
                                <w:highlight w:val="yellow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highlight w:val="yellow"/>
                              </w:rPr>
                            </w:pPr>
                            <w:r>
                              <w:rPr>
                                <w:highlight w:val="yellow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highlight w:val="yellow"/>
                              </w:rPr>
                            </w:pPr>
                            <w:r>
                              <w:rPr>
                                <w:highlight w:val="yellow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highlight w:val="yellow"/>
                              </w:rPr>
                            </w:pPr>
                            <w:r>
                              <w:rPr>
                                <w:highlight w:val="yellow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highlight w:val="yellow"/>
                              </w:rPr>
                            </w:pPr>
                            <w:r>
                              <w:rPr>
                                <w:highlight w:val="yellow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highlight w:val="yellow"/>
                              </w:rPr>
                            </w:pPr>
                            <w:r>
                              <w:rPr>
                                <w:highlight w:val="yellow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highlight w:val="yellow"/>
                              </w:rPr>
                            </w:pPr>
                            <w:r>
                              <w:rPr>
                                <w:highlight w:val="yellow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highlight w:val="yellow"/>
                              </w:rPr>
                            </w:pPr>
                            <w:r>
                              <w:rPr>
                                <w:highlight w:val="yellow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highlight w:val="yellow"/>
                              </w:rPr>
                            </w:pPr>
                            <w:r>
                              <w:rPr>
                                <w:highlight w:val="yellow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highlight w:val="yellow"/>
                              </w:rPr>
                            </w:pPr>
                            <w:r>
                              <w:rPr>
                                <w:highlight w:val="yellow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highlight w:val="yellow"/>
                              </w:rPr>
                            </w:pPr>
                            <w:r>
                              <w:rPr>
                                <w:highlight w:val="yellow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kern w:val="2"/>
                                <w:highlight w:val="yellow"/>
                              </w:rPr>
                            </w:pPr>
                            <w:r>
                              <w:rPr>
                                <w:kern w:val="2"/>
                                <w:highlight w:val="yellow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kern w:val="2"/>
                              </w:rPr>
                            </w:pPr>
                            <w:r>
                              <w:rPr>
                                <w:kern w:val="2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kern w:val="2"/>
                              </w:rPr>
                            </w:pPr>
                            <w:r>
                              <w:rPr>
                                <w:kern w:val="2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kern w:val="2"/>
                              </w:rPr>
                            </w:pPr>
                            <w:r>
                              <w:rPr>
                                <w:kern w:val="2"/>
                              </w:rPr>
                            </w:r>
                          </w:p>
                          <w:p>
                            <w:pPr>
                              <w:pStyle w:val="111"/>
                              <w:rPr/>
                            </w:pPr>
                            <w:r>
                              <w:rPr/>
                              <w:t xml:space="preserve">4.1.</w:t>
                            </w:r>
                            <w:r>
                              <w:rPr/>
                              <w:tab/>
                            </w:r>
                            <w:r>
                              <w:rPr/>
                              <w:t>Educação geral e treinamento</w:t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111"/>
                              <w:rPr/>
                            </w:pPr>
                            <w:r>
                              <w:rPr/>
                              <w:t xml:space="preserve">4.2.</w:t>
                            </w:r>
                            <w:r>
                              <w:rPr/>
                              <w:tab/>
                            </w:r>
                            <w:r>
                              <w:rPr/>
                              <w:t>Educação e Treinamento Profissional</w:t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11"/>
                              <w:rPr/>
                            </w:pPr>
                            <w:r>
                              <w:rPr/>
                              <w:t>5.</w:t>
                            </w:r>
                            <w:r>
                              <w:rPr/>
                              <w:tab/>
                            </w:r>
                            <w:r>
                              <w:rPr/>
                              <w:t>Esclareça e entenda a capacidade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kern w:val="2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1"/>
                              <w:rPr/>
                            </w:pPr>
                            <w:r>
                              <w:rPr/>
                              <w:t xml:space="preserve">6.</w:t>
                            </w:r>
                            <w:r>
                              <w:rPr/>
                              <w:tab/>
                            </w:r>
                            <w:r>
                              <w:rPr/>
                              <w:t xml:space="preserve">Planejamento / implementação e acompanhamento</w:t>
                            </w:r>
                          </w:p>
                          <w:p>
                            <w:pPr>
                              <w:pStyle w:val="111"/>
                              <w:rPr/>
                            </w:pPr>
                            <w:r>
                              <w:rPr/>
                              <w:t xml:space="preserve">6.1</w:t>
                            </w:r>
                            <w:r>
                              <w:rPr/>
                              <w:tab/>
                            </w:r>
                            <w:r>
                              <w:rPr/>
                              <w:t xml:space="preserve">Desenvolvimento e implementação do plano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11"/>
                              <w:rPr/>
                            </w:pPr>
                            <w:r>
                              <w:rPr/>
                              <w:t xml:space="preserve">6.2</w:t>
                            </w:r>
                            <w:r>
                              <w:rPr/>
                              <w:tab/>
                            </w:r>
                            <w:r>
                              <w:rPr/>
                              <w:t>Avaliação da eficácia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11"/>
                              <w:rPr/>
                            </w:pPr>
                            <w:r>
                              <w:rPr/>
                              <w:t xml:space="preserve">6.3</w:t>
                            </w:r>
                            <w:r>
                              <w:rPr/>
                              <w:tab/>
                            </w:r>
                            <w:r>
                              <w:rPr/>
                              <w:t>Credenciamento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1"/>
                              <w:rPr/>
                            </w:pPr>
                            <w:r>
                              <w:rPr/>
                              <w:t xml:space="preserve">7.</w:t>
                            </w:r>
                            <w:r>
                              <w:rPr/>
                              <w:tab/>
                            </w:r>
                            <w:r>
                              <w:rPr/>
                              <w:t xml:space="preserve">Instrutora de educação e treinamento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1"/>
                              <w:rPr/>
                            </w:pPr>
                            <w:r>
                              <w:rPr/>
                              <w:t xml:space="preserve">8.</w:t>
                            </w:r>
                            <w:r>
                              <w:rPr/>
                              <w:tab/>
                            </w:r>
                            <w:r>
                              <w:rPr/>
                              <w:t xml:space="preserve">Criação e armazenamento de registros</w:t>
                            </w:r>
                          </w:p>
                          <w:p>
                            <w:pPr>
                              <w:pStyle w:val="111"/>
                              <w:rPr/>
                            </w:pPr>
                            <w:r>
                              <w:rPr/>
                              <w:t>8.1</w:t>
                            </w:r>
                            <w:r>
                              <w:rPr/>
                              <w:tab/>
                            </w:r>
                            <w:r>
                              <w:rPr/>
                              <w:t xml:space="preserve">Criação de registros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11"/>
                              <w:rPr/>
                            </w:pPr>
                            <w:r>
                              <w:rPr/>
                              <w:t xml:space="preserve">8.2</w:t>
                            </w:r>
                            <w:r>
                              <w:rPr/>
                              <w:tab/>
                            </w:r>
                            <w:r>
                              <w:rPr/>
                              <w:t xml:space="preserve">Armazenamento de registros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1"/>
                              <w:rPr/>
                            </w:pPr>
                            <w:r>
                              <w:rPr/>
                              <w:t>9.</w:t>
                            </w:r>
                            <w:r>
                              <w:rPr/>
                              <w:tab/>
                            </w:r>
                            <w:r>
                              <w:rPr/>
                              <w:t>Outros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1"/>
                              <w:rPr/>
                            </w:pPr>
                            <w:r>
                              <w:rPr/>
                              <w:t xml:space="preserve">10. Recursos relacionados</w:t>
                            </w:r>
                          </w:p>
                        </w:tc>
                        <w:tc>
                          <w:tcPr>
                            <w:tcW w:w="7589" w:type="dxa"/>
                            <w:tcBorders>
                              <w:top w:val="single" w:sz="12" w:space="0" w:color="000000"/>
                              <w:start w:val="single" w:sz="8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Bun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  <w:t xml:space="preserve">O objetivo destas regras é estabelecer algumas diretrizes, em conformidade com as "Regras de Treinamento" (APQ-AT-001) da Empresa de Eletrodomésticos, Panasonic Corporation (doravante denominada "Empresa AP"), que devem ser cumpridas e executadas para definir os detalhes de educação e treinamento para o pessoal de fabricação e executar a educação e treinamento.</w:t>
                            </w:r>
                            <w:bookmarkStart w:id="36" w:name="OLE_LINK19"/>
                            <w:bookmarkStart w:id="37" w:name="OLE_LINK18"/>
                            <w:bookmarkStart w:id="38" w:name="OLE_LINK2"/>
                            <w:bookmarkStart w:id="39" w:name="OLE_LINK1"/>
                            <w:bookmarkEnd w:id="36"/>
                            <w:bookmarkEnd w:id="37"/>
                            <w:bookmarkEnd w:id="38"/>
                            <w:bookmarkEnd w:id="39"/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  <w:t xml:space="preserve">Essas regras devem ser aplicadas a todos os funcionários envolvidos no Departamento de Fabricação da AP Company. Essas regras também devem ser aplicadas a outros trabalhadores além dos funcionários da AP Company, como trabalhadores temporários e contratados, etc., quando seu trabalho estiver envolvido no Departamento de Fabricação.</w:t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  <w:t xml:space="preserve">Essas regras serão estabelecidas, revisadas e abolidas pelo CMO da AP Company e promulgadas pelo diretor da Divisão de Inovação Corporativa de Manufatura.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  <w:t xml:space="preserve">O tipo de Educação e Treinamento para o pessoal de manufatura é classificado em Educação e Treinamento Geral e Educação e Treinamento Profissional.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  <w:highlight w:val="yellow"/>
                              </w:rPr>
                            </w:pPr>
                            <w:r>
                              <w:rPr>
                                <w:lang w:val="en-US" w:eastAsia="en-US"/>
                              </w:rPr>
                              <w:pict>
                                <v:group id="shape_0" alt="キャンバス 25" style="position:absolute;margin-left:0pt;margin-top:0pt;width:367.2pt;height:172.25pt" coordorigin="0,0" coordsize="7344,3445">
                                  <v:rect id="shape_0" stroked="f" style="position:absolute;left:0;top:0;width:7343;height:3444;mso-wrap-style:none;v-text-anchor:middle;mso-position-horizontal-relative:char">
                                    <v:fill o:detectmouseclick="t" on="false"/>
                                    <v:stroke color="#3465a4" joinstyle="round" endcap="flat"/>
                                    <w10:wrap type="none"/>
                                  </v:rect>
                                  <v:shapetype id="shapetype_109" coordsize="21600,21600" o:spt="109" path="m,l21600,l21600,21600l,21600xe">
                                    <v:stroke joinstyle="miter"/>
                                    <v:path gradientshapeok="t" o:connecttype="rect" textboxrect="0,0,21600,21600"/>
                                  </v:shapetype>
                                  <v:shape id="shape_0" ID="AutoShape 26" stroked="t" style="position:absolute;left:1395;top:124;width:4474;height:415;mso-wrap-style:square;v-text-anchor:top;mso-position-horizontal-relative:char" type="shapetype_109">
                                    <v:textbox>
                                      <w:txbxContent>
                                        <w:p>
                                          <w:pPr>
                                            <w:overflowPunct w:val="false"/>
                                            <w:bidi w:val="0"/>
                                            <w:jc w:val="center"/>
                                            <w:rPr/>
                                          </w:pPr>
                                          <w:r>
                                            <w:rPr>
                                              <w:sz w:val="20"/>
                                              <w:kern w:val="2"/>
                                              <w:szCs w:val="20"/>
                                              <w:rFonts w:ascii="Arial" w:hAnsi="Arial" w:eastAsia="ＭＳ 明朝;MS Mincho" w:cs="Arial"/>
                                              <w:color w:val="auto"/>
                                              <w:lang w:val="en-US" w:eastAsia="ja-JP" w:bidi="ar-SA"/>
                                            </w:rPr>
                                            <w:t>Educação e treinamento para a equipe de fabricação</w:t>
                                          </w:r>
                                        </w:p>
                                      </w:txbxContent>
                                    </v:textbox>
                                    <v:fill o:detectmouseclick="t" on="false"/>
                                    <v:stroke color="black" weight="9360" joinstyle="miter" endcap="flat"/>
                                  </v:shape>
                                  <v:shape id="shape_0" ID="AutoShape 27" stroked="t" style="position:absolute;left:254;top:1350;width:3178;height:1895;mso-wrap-style:square;v-text-anchor:top;mso-position-horizontal-relative:char" type="shapetype_109">
                                    <v:textbox>
                                      <w:txbxContent>
                                        <w:p>
                                          <w:pPr>
                                            <w:overflowPunct w:val="false"/>
                                            <w:bidi w:val="0"/>
                                            <w:jc w:val="center"/>
                                            <w:rPr/>
                                          </w:pPr>
                                          <w:r>
                                            <w:rPr>
                                              <w:sz w:val="20"/>
                                              <w:u w:val="single"/>
                                              <w:kern w:val="2"/>
                                              <w:szCs w:val="20"/>
                                              <w:rFonts w:ascii="Arial" w:hAnsi="Arial" w:eastAsia="ＭＳ 明朝;MS Mincho" w:cs="Arial"/>
                                              <w:color w:val="auto"/>
                                              <w:lang w:val="en-US" w:eastAsia="ja-JP" w:bidi="ar-SA"/>
                                            </w:rPr>
                                            <w:t>Educação geral e treinamento</w:t>
                                          </w:r>
                                        </w:p>
                                        <w:p>
                                          <w:pPr>
                                            <w:overflowPunct w:val="false"/>
                                            <w:bidi w:val="0"/>
                                            <w:rPr/>
                                          </w:pPr>
                                          <w:r>
                                            <w:rPr>
                                              <w:sz w:val="24"/>
                                              <w:kern w:val="2"/>
                                              <w:szCs w:val="24"/>
                                              <w:rFonts w:ascii="Liberation Serif" w:hAnsi="Liberation Serif" w:eastAsia="Noto Serif CJK SC" w:cs="Lohit Devanagari"/>
                                              <w:lang w:eastAsia="zh-CN" w:bidi="hi-IN"/>
                                            </w:rPr>
                                          </w:r>
                                        </w:p>
                                        <w:p>
                                          <w:pPr>
                                            <w:overflowPunct w:val="false"/>
                                            <w:bidi w:val="0"/>
                                            <w:ind w:start="142" w:hanging="142"/>
                                            <w:rPr/>
                                          </w:pPr>
                                          <w:r>
                                            <w:rPr>
                                              <w:sz w:val="20"/>
                                              <w:kern w:val="2"/>
                                              <w:szCs w:val="20"/>
                                              <w:rFonts w:ascii="Arial" w:hAnsi="Arial" w:eastAsia="ＭＳ 明朝;MS Mincho" w:cs="Arial"/>
                                              <w:color w:val="auto"/>
                                              <w:lang w:val="en-US" w:eastAsia="ja-JP" w:bidi="ar-SA"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sz w:val="20"/>
                                              <w:kern w:val="2"/>
                                              <w:szCs w:val="20"/>
                                              <w:rFonts w:ascii="Arial" w:hAnsi="Arial" w:eastAsia="ＭＳ 明朝;MS Mincho" w:cs="Arial"/>
                                              <w:color w:val="auto"/>
                                              <w:lang w:val="en-US" w:eastAsia="ja-JP" w:bidi="ar-SA"/>
                                            </w:rPr>
                                          </w:r>
                                          <w:r>
                                            <w:rPr>
                                              <w:sz w:val="20"/>
                                              <w:kern w:val="2"/>
                                              <w:szCs w:val="20"/>
                                              <w:rFonts w:ascii="Arial" w:hAnsi="Arial" w:eastAsia="ＭＳ 明朝;MS Mincho" w:cs="Arial"/>
                                              <w:color w:val="auto"/>
                                              <w:lang w:val="en-US" w:eastAsia="ja-JP" w:bidi="ar-SA"/>
                                            </w:rPr>
                                            <w:t>Cursos de treinamento por nível de equipe</w:t>
                                          </w:r>
                                        </w:p>
                                        <w:p>
                                          <w:pPr>
                                            <w:overflowPunct w:val="false"/>
                                            <w:bidi w:val="0"/>
                                            <w:ind w:start="142" w:hanging="142"/>
                                            <w:rPr/>
                                          </w:pPr>
                                          <w:r>
                                            <w:rPr>
                                              <w:sz w:val="20"/>
                                              <w:kern w:val="2"/>
                                              <w:szCs w:val="20"/>
                                              <w:rFonts w:ascii="Arial" w:hAnsi="Arial" w:eastAsia="ＭＳ 明朝;MS Mincho" w:cs="Arial"/>
                                              <w:color w:val="auto"/>
                                              <w:lang w:val="en-US" w:eastAsia="ja-JP" w:bidi="ar-SA"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sz w:val="20"/>
                                              <w:kern w:val="2"/>
                                              <w:szCs w:val="20"/>
                                              <w:rFonts w:ascii="Arial" w:hAnsi="Arial" w:eastAsia="ＭＳ 明朝;MS Mincho" w:cs="Arial"/>
                                              <w:color w:val="auto"/>
                                              <w:lang w:val="en-US" w:eastAsia="ja-JP" w:bidi="ar-SA"/>
                                            </w:rPr>
                                          </w:r>
                                          <w:r>
                                            <w:rPr>
                                              <w:sz w:val="20"/>
                                              <w:kern w:val="2"/>
                                              <w:szCs w:val="20"/>
                                              <w:rFonts w:ascii="Arial" w:hAnsi="Arial" w:eastAsia="ＭＳ 明朝;MS Mincho" w:cs="Arial"/>
                                              <w:color w:val="auto"/>
                                              <w:lang w:val="en-US" w:eastAsia="ja-JP" w:bidi="ar-SA"/>
                                            </w:rPr>
                                            <w:t>Cursos de formação internos e externos por função de pessoal</w:t>
                                          </w:r>
                                        </w:p>
                                      </w:txbxContent>
                                    </v:textbox>
                                    <v:fill o:detectmouseclick="t" on="false"/>
                                    <v:stroke color="black" weight="9360" joinstyle="miter" endcap="flat"/>
                                  </v:shape>
                                  <v:shape id="shape_0" ID="AutoShape 28" stroked="t" style="position:absolute;left:3633;top:1350;width:3588;height:1895;mso-wrap-style:square;v-text-anchor:top;mso-position-horizontal-relative:char" type="shapetype_109">
                                    <v:textbox>
                                      <w:txbxContent>
                                        <w:p>
                                          <w:pPr>
                                            <w:overflowPunct w:val="false"/>
                                            <w:bidi w:val="0"/>
                                            <w:jc w:val="center"/>
                                            <w:rPr/>
                                          </w:pPr>
                                          <w:r>
                                            <w:rPr>
                                              <w:sz w:val="20"/>
                                              <w:u w:val="single"/>
                                              <w:kern w:val="2"/>
                                              <w:szCs w:val="20"/>
                                              <w:rFonts w:ascii="Arial" w:hAnsi="Arial" w:eastAsia="ＭＳ 明朝;MS Mincho" w:cs="Arial"/>
                                              <w:color w:val="auto"/>
                                              <w:lang w:val="en-US" w:eastAsia="ja-JP" w:bidi="ar-SA"/>
                                            </w:rPr>
                                            <w:t>Educação e Treinamento Profissional</w:t>
                                          </w:r>
                                        </w:p>
                                        <w:p>
                                          <w:pPr>
                                            <w:overflowPunct w:val="false"/>
                                            <w:bidi w:val="0"/>
                                            <w:rPr/>
                                          </w:pPr>
                                          <w:r>
                                            <w:rPr>
                                              <w:sz w:val="24"/>
                                              <w:kern w:val="2"/>
                                              <w:szCs w:val="24"/>
                                              <w:rFonts w:ascii="Liberation Serif" w:hAnsi="Liberation Serif" w:eastAsia="Noto Serif CJK SC" w:cs="Lohit Devanagari"/>
                                              <w:lang w:eastAsia="zh-CN" w:bidi="hi-IN"/>
                                            </w:rPr>
                                          </w:r>
                                        </w:p>
                                        <w:p>
                                          <w:pPr>
                                            <w:overflowPunct w:val="false"/>
                                            <w:bidi w:val="0"/>
                                            <w:ind w:start="142" w:hanging="142"/>
                                            <w:rPr/>
                                          </w:pPr>
                                          <w:r>
                                            <w:rPr>
                                              <w:sz w:val="20"/>
                                              <w:kern w:val="2"/>
                                              <w:szCs w:val="20"/>
                                              <w:rFonts w:ascii="Arial" w:hAnsi="Arial" w:eastAsia="ＭＳ 明朝;MS Mincho" w:cs="Arial"/>
                                              <w:color w:val="auto"/>
                                              <w:lang w:val="en-US" w:eastAsia="ja-JP" w:bidi="ar-SA"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sz w:val="20"/>
                                              <w:kern w:val="2"/>
                                              <w:szCs w:val="20"/>
                                              <w:rFonts w:ascii="Arial" w:hAnsi="Arial" w:eastAsia="ＭＳ 明朝;MS Mincho" w:cs="Arial"/>
                                              <w:color w:val="auto"/>
                                              <w:lang w:val="en-US" w:eastAsia="ja-JP" w:bidi="ar-SA"/>
                                            </w:rPr>
                                          </w:r>
                                          <w:r>
                                            <w:rPr>
                                              <w:sz w:val="20"/>
                                              <w:kern w:val="2"/>
                                              <w:szCs w:val="20"/>
                                              <w:rFonts w:ascii="Arial" w:hAnsi="Arial" w:eastAsia="ＭＳ 明朝;MS Mincho" w:cs="Arial"/>
                                              <w:color w:val="auto"/>
                                              <w:lang w:val="en-US" w:eastAsia="ja-JP" w:bidi="ar-SA"/>
                                            </w:rPr>
                                            <w:t>Treinamento do Praticante</w:t>
                                          </w:r>
                                        </w:p>
                                        <w:p>
                                          <w:pPr>
                                            <w:overflowPunct w:val="false"/>
                                            <w:bidi w:val="0"/>
                                            <w:ind w:start="142" w:hanging="142"/>
                                            <w:rPr/>
                                          </w:pPr>
                                          <w:r>
                                            <w:rPr>
                                              <w:sz w:val="20"/>
                                              <w:kern w:val="2"/>
                                              <w:szCs w:val="20"/>
                                              <w:rFonts w:ascii="Arial" w:hAnsi="Arial" w:eastAsia="ＭＳ 明朝;MS Mincho" w:cs="Arial"/>
                                              <w:color w:val="auto"/>
                                              <w:lang w:val="en-US" w:eastAsia="ja-JP" w:bidi="ar-SA"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sz w:val="20"/>
                                              <w:kern w:val="2"/>
                                              <w:szCs w:val="20"/>
                                              <w:rFonts w:ascii="Arial" w:hAnsi="Arial" w:eastAsia="ＭＳ 明朝;MS Mincho" w:cs="Arial"/>
                                              <w:color w:val="auto"/>
                                              <w:lang w:val="en-US" w:eastAsia="ja-JP" w:bidi="ar-SA"/>
                                            </w:rPr>
                                          </w:r>
                                          <w:r>
                                            <w:rPr>
                                              <w:sz w:val="20"/>
                                              <w:kern w:val="2"/>
                                              <w:szCs w:val="20"/>
                                              <w:rFonts w:ascii="Arial" w:hAnsi="Arial" w:eastAsia="ＭＳ 明朝;MS Mincho" w:cs="Arial"/>
                                              <w:color w:val="auto"/>
                                              <w:lang w:val="en-US" w:eastAsia="ja-JP" w:bidi="ar-SA"/>
                                            </w:rPr>
                                            <w:t>Educação e Treinamento para o pessoal envolvido em processos e operações que exijam qualificação e credenciamento.</w:t>
                                          </w:r>
                                        </w:p>
                                        <w:p>
                                          <w:pPr>
                                            <w:overflowPunct w:val="false"/>
                                            <w:bidi w:val="0"/>
                                            <w:rPr/>
                                          </w:pPr>
                                          <w:r>
                                            <w:rPr>
                                              <w:sz w:val="24"/>
                                              <w:kern w:val="2"/>
                                              <w:szCs w:val="24"/>
                                              <w:rFonts w:ascii="Liberation Serif" w:hAnsi="Liberation Serif" w:eastAsia="Noto Serif CJK SC" w:cs="Lohit Devanagari"/>
                                              <w:lang w:eastAsia="zh-CN" w:bidi="hi-IN"/>
                                            </w:rPr>
                                          </w:r>
                                        </w:p>
                                      </w:txbxContent>
                                    </v:textbox>
                                    <v:fill o:detectmouseclick="t" on="false"/>
                                    <v:stroke color="black" weight="9360" joinstyle="miter" endcap="flat"/>
                                  </v:shape>
                                  <v:shapetype id="shapetype_33" coordsize="21600,21600" o:spt="33" path="m,l21600,l21600,21600nfe">
                                    <v:stroke joinstyle="miter"/>
                                    <v:path gradientshapeok="t" o:connecttype="rect" textboxrect="0,0,21600,21600"/>
                                  </v:shapetype>
                                  <v:shape id="shape_0" ID="AutoShape 29" stroked="t" style="position:absolute;left:1843;top:1350;width:0;height:0;rotation:90;mso-position-horizontal-relative:char" type="shapetype_33">
                                    <v:stroke color="black" weight="9360" joinstyle="miter" endcap="flat"/>
                                    <v:fill o:detectmouseclick="t" on="false"/>
                                  </v:shape>
                                  <v:shape id="shape_0" ID="AutoShape 30" stroked="t" style="position:absolute;left:5427;top:1350;width:0;height:0;rotation:90;mso-position-horizontal-relative:char" type="shapetype_33">
                                    <v:stroke color="black" weight="9360" joinstyle="miter" endcap="flat"/>
                                    <v:fill o:detectmouseclick="t" on="false"/>
                                  </v:shape>
                                </v:group>
                              </w:pict>
                            </w:r>
                          </w:p>
                          <w:p>
                            <w:pPr>
                              <w:pStyle w:val="Bun"/>
                              <w:rPr>
                                <w:rFonts w:cs="Arial"/>
                                <w:sz w:val="20"/>
                                <w:szCs w:val="20"/>
                                <w:highlight w:val="yellow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  <w:highlight w:val="yellow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  <w:t>Educação Geral e Treinamento significa cursos de treinamento promovidos por outros que não o Departamento de Fabricação, como o Departamento de Recursos Humanos, Sede da Função e Empresa de Desenvolvimento de Recursos Humanos.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  <w:highlight w:val="yellow"/>
                              </w:rPr>
                            </w:pPr>
                            <w:r>
                              <w:rPr>
                                <w:rFonts w:cs="Arial"/>
                                <w:kern w:val="2"/>
                                <w:sz w:val="20"/>
                                <w:szCs w:val="20"/>
                              </w:rPr>
                              <w:t>Para obter detalhes, consulte "Estrutura de treinamento e educação da empresa AP" (Anexo 1) fornecido pelas "Regras de treinamento" (APQ-AT-001).</w:t>
                            </w:r>
                            <w:bookmarkStart w:id="40" w:name="OLE_LINK13"/>
                            <w:bookmarkStart w:id="41" w:name="OLE_LINK12"/>
                            <w:bookmarkStart w:id="42" w:name="OLE_LINK23"/>
                            <w:bookmarkStart w:id="43" w:name="OLE_LINK22"/>
                            <w:bookmarkEnd w:id="40"/>
                            <w:bookmarkEnd w:id="41"/>
                            <w:bookmarkEnd w:id="42"/>
                            <w:bookmarkEnd w:id="43"/>
                          </w:p>
                          <w:p>
                            <w:pPr>
                              <w:pStyle w:val="Bun"/>
                              <w:rPr>
                                <w:rFonts w:cs="Arial"/>
                                <w:sz w:val="20"/>
                                <w:szCs w:val="20"/>
                                <w:highlight w:val="yellow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  <w:highlight w:val="yellow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  <w:t xml:space="preserve">Educação e Formação Profissional significa Formação Profissional para trabalhadores em geral, liderada pelo Departamento de Fabricação; Educação e Treinamento para processos e operações que requerem qualificação e credenciamento, e Educação e Treinamento para obtenção das qualificações necessárias à condução de operações elementares. Cada divisão e local deve esclarecer os detalhes de sua educação em segurança do produto e treinamento de habilidades, etc. O processo principal e as operações que requerem credenciamento são descritos a seguir, e seus detalhes devem ser estabelecidos por cada divisão e local.</w:t>
                            </w:r>
                            <w:bookmarkStart w:id="44" w:name="OLE_LINK11"/>
                            <w:bookmarkStart w:id="45" w:name="OLE_LINK10"/>
                          </w:p>
                          <w:p>
                            <w:pPr>
                              <w:pStyle w:val="Ten"/>
                              <w:snapToGrid w:val="false"/>
                              <w:ind w:start="862" w:hanging="227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-</w:t>
                            </w:r>
                            <w:r>
                              <w:rPr>
                                <w:szCs w:val="20"/>
                              </w:rPr>
                              <w:tab/>
                              <w:t>Processo de segurança</w:t>
                            </w:r>
                          </w:p>
                          <w:p>
                            <w:pPr>
                              <w:pStyle w:val="Ten"/>
                              <w:snapToGrid w:val="false"/>
                              <w:ind w:start="862" w:hanging="227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-</w:t>
                            </w:r>
                            <w:r>
                              <w:rPr>
                                <w:szCs w:val="20"/>
                              </w:rPr>
                              <w:tab/>
                              <w:t>Processo especial</w:t>
                            </w:r>
                          </w:p>
                          <w:p>
                            <w:pPr>
                              <w:pStyle w:val="Ten"/>
                              <w:snapToGrid w:val="false"/>
                              <w:ind w:start="862" w:hanging="227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-</w:t>
                            </w:r>
                            <w:r>
                              <w:rPr>
                                <w:szCs w:val="20"/>
                              </w:rPr>
                              <w:tab/>
                              <w:t>Processo antiestático</w:t>
                            </w:r>
                          </w:p>
                          <w:p>
                            <w:pPr>
                              <w:pStyle w:val="Ten"/>
                              <w:snapToGrid w:val="false"/>
                              <w:ind w:start="862" w:hanging="227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-</w:t>
                            </w:r>
                            <w:r>
                              <w:rPr>
                                <w:szCs w:val="20"/>
                              </w:rPr>
                              <w:tab/>
                              <w:t>Processo de inspeção</w:t>
                            </w:r>
                          </w:p>
                          <w:p>
                            <w:pPr>
                              <w:pStyle w:val="Ten"/>
                              <w:snapToGrid w:val="false"/>
                              <w:ind w:start="862" w:hanging="227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-</w:t>
                            </w:r>
                            <w:r>
                              <w:rPr>
                                <w:szCs w:val="20"/>
                              </w:rPr>
                              <w:tab/>
                              <w:t>Análise e manutenção</w:t>
                            </w:r>
                          </w:p>
                          <w:p>
                            <w:pPr>
                              <w:pStyle w:val="Ten"/>
                              <w:snapToGrid w:val="false"/>
                              <w:ind w:start="862" w:hanging="227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-</w:t>
                            </w:r>
                            <w:r>
                              <w:rPr>
                                <w:szCs w:val="20"/>
                              </w:rPr>
                              <w:tab/>
                              <w:t>Outros, onde as qualificações do governo são necessárias para a realização de operações</w:t>
                            </w:r>
                          </w:p>
                          <w:p>
                            <w:pPr>
                              <w:pStyle w:val="Ten"/>
                              <w:snapToGrid w:val="false"/>
                              <w:ind w:start="862" w:hanging="227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>(como líder de equipe, motorista de empilhadeira e operador de soldagem que exigem licenças)</w:t>
                            </w:r>
                          </w:p>
                          <w:p>
                            <w:pPr>
                              <w:pStyle w:val="Bun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bookmarkEnd w:id="44"/>
                            <w:bookmarkEnd w:id="45"/>
                            <w:r>
                              <w:rPr/>
                              <w:t>As pessoas responsáveis ​​dentro das seções do Departamento de Fabricação devem esclarecer a capacidade (conhecimento e habilidade) necessária para cada função e verificar a capacidade de cada funcionário que está envolvido regularmente (mais de uma vez por ano), em seguida, resumir os resultados nas "Requisitos/Lista de Capacidades e Cronograma de Treinamento/Lista de Resultados" (Anexo 2-1) fornecido pelas "Regras de Treinamento" (APQ-AT-001). Um estilo de formulário individual de cada divisão e local também é aceitável, desde que se refira ao Anexo 2-1 e os mesmos conteúdos sejam listados.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"/>
                              <w:ind w:start="702" w:hanging="484"/>
                              <w:rPr/>
                            </w:pPr>
                            <w:r>
                              <w:rPr/>
                              <w:t>(1)</w:t>
                            </w:r>
                            <w:r>
                              <w:rPr/>
                              <w:tab/>
                            </w:r>
                            <w:r>
                              <w:rPr/>
                              <w:t xml:space="preserve">Para treinar a equipe de fabricação, as pessoas responsáveis ​​nas seções do Departamento de Fabricação devem ter entrevistas regulares (mais de uma vez por ano) com a equipe de fabricação para aplicar o treinamento pessoal com base em um cronograma de treinamento pessoal de acordo com a Estrutura de Treinamento e Educação da Empresa AP. Ao mesmo tempo, para melhorar a capacidade do pessoal, estabelecer Educação e Treinamento Profissional, como Educação e Treinamento para obter as qualificações governamentais necessárias para conduzir operações e certificar operações, então resumir o plano de educação e treinamento para o ano nos "Requisitos / Lista de Capacidades e Cronograma de Treinamento/Lista de Resultados" para fins de administração. No entanto, a Educação e Treinamento Profissional deve ser implementado conforme necessário, mesmo que não esteja listado no cronograma,</w:t>
                            </w:r>
                            <w:bookmarkStart w:id="46" w:name="OLE_LINK17"/>
                            <w:bookmarkStart w:id="47" w:name="OLE_LINK16"/>
                            <w:bookmarkEnd w:id="46"/>
                            <w:bookmarkEnd w:id="47"/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"/>
                              <w:ind w:start="702" w:hanging="484"/>
                              <w:rPr/>
                            </w:pPr>
                            <w:r>
                              <w:rPr/>
                              <w:t xml:space="preserve">(2)</w:t>
                            </w:r>
                            <w:r>
                              <w:rPr/>
                              <w:tab/>
                            </w:r>
                            <w:r>
                              <w:rPr/>
                              <w:t xml:space="preserve">Para um trabalhador temporário descrito como outro trabalhador em 2. Âmbito, após verificação do período de despacho através de coordenação com o responsável pela empresa de despacho, verificação dos resultados de uma avaliação de desempenho e atribuição de postos de trabalho programados, a Educação e Formação Profissional que tenha determinado como necessário deve ser hospedado pela Panasonic Corporation. Para trabalhadores contratados, discuta antes do início do contrato ou discuta com o Comitê PSL, Educação e Treinamento Profissional devem ser implementados conforme necessário com base no acordo. Para obter detalhes, consulte "Normas de gerenciamento de subcontratados" (APQ-BM-011).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  <w:t>Os responsáveis ​​das seções do Departamento de Fabricação devem avaliar os trabalhadores que receberam educação e treinamento para verificar se atingiram o nível da meta programada.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ind w:start="300" w:hanging="300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"/>
                              <w:ind w:start="702" w:hanging="484"/>
                              <w:rPr/>
                            </w:pPr>
                            <w:r>
                              <w:rPr/>
                              <w:t xml:space="preserve">(1)</w:t>
                            </w:r>
                            <w:r>
                              <w:rPr/>
                              <w:tab/>
                            </w:r>
                            <w:r>
                              <w:rPr/>
                              <w:t xml:space="preserve">Avalie a educação geral, as qualificações e cursos do governo, etc., com base nos resultados de feedback e entrevistas, etc., para treinamento futuro.</w:t>
                            </w:r>
                          </w:p>
                          <w:p>
                            <w:pPr>
                              <w:pStyle w:val="1"/>
                              <w:ind w:start="702" w:hanging="484"/>
                              <w:rPr/>
                            </w:pPr>
                            <w:r>
                              <w:rPr/>
                              <w:t xml:space="preserve">(2)</w:t>
                            </w:r>
                            <w:r>
                              <w:rPr/>
                              <w:tab/>
                            </w:r>
                            <w:r>
                              <w:rPr/>
                              <w:t>Avalie a eficácia do treinamento prático, como o treinamento de múltiplas habilidades de manuseio, monitorando seu desempenho no trabalho e realizando entrevistas, etc. Localize os resultados da avaliação em um mapa de habilidades.</w:t>
                            </w:r>
                          </w:p>
                          <w:p>
                            <w:pPr>
                              <w:pStyle w:val="1"/>
                              <w:ind w:start="702" w:hanging="484"/>
                              <w:rPr/>
                            </w:pPr>
                            <w:r>
                              <w:rPr/>
                              <w:tab/>
                            </w:r>
                            <w:r>
                              <w:rPr/>
                              <w:t>Para manutenção de habilidades, consulte "Guia de Prática M-ALE".</w:t>
                            </w:r>
                          </w:p>
                          <w:p>
                            <w:pPr>
                              <w:pStyle w:val="1"/>
                              <w:ind w:start="702" w:hanging="484"/>
                              <w:rPr/>
                            </w:pPr>
                            <w:r>
                              <w:rPr/>
                              <w:t xml:space="preserve">(3)</w:t>
                            </w:r>
                            <w:r>
                              <w:rPr/>
                              <w:tab/>
                            </w:r>
                            <w:r>
                              <w:rPr/>
                              <w:t>Para Educação e Treinamento Profissional para funcionários envolvidos em processos e operações que exijam qualificação e credenciamento, conforme descrito em 4.2, realizar testes após o treinamento para avaliar a eficácia da educação e treinamento. O conteúdo da educação, treinamento e testes, e os detalhes de como decidir se os resultados dos testes atendem aos padrões, devem ser definidos por cada divisão e local.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"/>
                              <w:ind w:start="702" w:hanging="484"/>
                              <w:rPr/>
                            </w:pPr>
                            <w:r>
                              <w:rPr/>
                              <w:t xml:space="preserve">(1)</w:t>
                            </w:r>
                            <w:r>
                              <w:rPr/>
                              <w:tab/>
                            </w:r>
                            <w:r>
                              <w:rPr/>
                              <w:t>Para os funcionários que tenham concluído a Formação e Formação Profissional necessária à acreditação, os responsáveis ​​das secções do Departamento de Fabricação devem certificá-los para registá-los juntamente com os seus resultados de formação e formação. Os critérios de acreditação devem ser definidos por cada divisão e local. Defina o período de validade para credenciamento em um ano; realizar educação e treinamento regulares para manter e melhorar o nível.</w:t>
                            </w:r>
                          </w:p>
                          <w:p>
                            <w:pPr>
                              <w:pStyle w:val="1"/>
                              <w:ind w:start="702" w:hanging="484"/>
                              <w:rPr/>
                            </w:pPr>
                            <w:r>
                              <w:rPr/>
                              <w:t xml:space="preserve">(2)</w:t>
                            </w:r>
                            <w:r>
                              <w:rPr/>
                              <w:tab/>
                            </w:r>
                            <w:r>
                              <w:rPr/>
                              <w:t xml:space="preserve">Registrar funcionários que obtiveram qualificações governamentais e funcionários que concluíram cursos na "Lista de Requisitos/Capacidade e Cronograma de Treinamento/Lista de Resultados" com base em seus resultados.</w:t>
                            </w:r>
                            <w:bookmarkStart w:id="48" w:name="OLE_LINK8"/>
                            <w:bookmarkStart w:id="49" w:name="OLE_LINK7"/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  <w:bookmarkEnd w:id="48"/>
                            <w:bookmarkEnd w:id="49"/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  <w:t xml:space="preserve">O Instrutor de Educação e Treinamento Profissional deve ser alguém que seja aprovado como qualificado para instruir a educação e treinamento profissional relevante e que seja nomeado pelos responsáveis ​​nas seções do Departamento de Fabricação.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ind w:firstLine="104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  <w:t>Os responsáveis ​​nas seções do Departamento de Fabricação devem registrar o resultado na "Lista de Requisitos/Capacidade e Cronograma de Treinamento/Lista de Resultados" e no "Registro de Histórico de Treinamento e Educação Pessoal" (Anexo 3) fornecido pelas "Regras de Treinamento" ( APQ-AT-001) após a conclusão dos cursos, educação e treinamento, ou assim que souber do resultado do exame de qualificação. Um formulário de estilo individual de cada divisão e site também é aceito, desde que se refira ao Anexo 3 e os mesmos conteúdos sejam listados.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  <w:t xml:space="preserve">Os registros relacionados às regras desta operação devem ser arquivados de acordo com "Padrões de Controle de Documentos de Qualidade e Registros de Qualidade" (APQ-BG-001). Para registros não cobertos por provisões, cada divisão e local deve estabelecer regras para isso e armazená-las.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/>
                              <w:t>Outros detalhes necessários devem ser esclarecidos nas regras e procedimentos de cada divisão e local.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50" w:name="OLE_LINK46"/>
                            <w:bookmarkStart w:id="51" w:name="OLE_LINK47"/>
                            <w:r>
                              <w:rPr>
                                <w:rFonts w:cs="Arial"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"Orientação de Prática M-ALE" (versão mais recente)</w:t>
                            </w:r>
                            <w:bookmarkEnd w:id="50"/>
                            <w:bookmarkEnd w:id="51"/>
                          </w:p>
                          <w:p>
                            <w:pPr>
                              <w:pStyle w:val="Normal"/>
                              <w:snapToGrid w:val="false"/>
                              <w:ind w:start="2" w:hanging="19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hyperlink r:id="rId3">
                              <w:r>
                                <w:rPr>
                                  <w:rStyle w:val="InternetLink"/>
                                  <w:rFonts w:cs="Arial"/>
                                  <w:sz w:val="20"/>
                                  <w:szCs w:val="20"/>
                                </w:rPr>
                                <w:t>http://iweb.mei.co.jp/gcms/HACMS/DirectAccess?disp=WS20007R&amp;subpDocId=DOC00011581&amp;subpId=SBP033&amp;lang=ja&amp;ui=ja</w:t>
                              </w:r>
                            </w:hyperlink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inline distT="0" distB="0" distL="0" distR="0">
                <wp:extent cx="4664075" cy="2188210"/>
                <wp:effectExtent l="0" t="0" r="0" b="0"/>
                <wp:docPr id="3" name="キャンバス 2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3440" cy="2187720"/>
                        </a:xfrm>
                      </wpg:grpSpPr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0" y="0"/>
                            <a:ext cx="4663440" cy="2187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5960" y="78840"/>
                            <a:ext cx="2841480" cy="264240"/>
                          </a:xfrm>
                          <a:prstGeom prst="flowChartProcess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Arial" w:hAnsi="Arial" w:eastAsia="ＭＳ 明朝;MS Mincho" w:cs="Arial"/>
                                  <w:color w:val="auto"/>
                                  <w:lang w:val="en-US" w:eastAsia="ja-JP" w:bidi="ar-SA"/>
                                </w:rPr>
                                <w:t>Educação e treinamento para a equipe de fabricação</w:t>
                              </w:r>
                            </w:p>
                          </w:txbxContent>
                        </wps:txbx>
                        <wps:bodyPr lIns="74160" rIns="74160" tIns="9000" bIns="9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1280" y="857160"/>
                            <a:ext cx="2018520" cy="1203840"/>
                          </a:xfrm>
                          <a:prstGeom prst="flowChartProcess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u w:val="single"/>
                                  <w:kern w:val="2"/>
                                  <w:szCs w:val="20"/>
                                  <w:rFonts w:ascii="Arial" w:hAnsi="Arial" w:eastAsia="ＭＳ 明朝;MS Mincho" w:cs="Arial"/>
                                  <w:color w:val="auto"/>
                                  <w:lang w:val="en-US" w:eastAsia="ja-JP" w:bidi="ar-SA"/>
                                </w:rPr>
                                <w:t>Educação geral e treinamento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rPr/>
                              </w:pPr>
                              <w:r>
                                <w:rPr>
                                  <w:sz w:val="24"/>
                                  <w:kern w:val="2"/>
                                  <w:szCs w:val="24"/>
                                  <w:rFonts w:ascii="Liberation Serif" w:hAnsi="Liberation Serif" w:eastAsia="Noto Serif CJK SC" w:cs="Lohit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start="142" w:hanging="142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Arial" w:hAnsi="Arial" w:eastAsia="ＭＳ 明朝;MS Mincho" w:cs="Arial"/>
                                  <w:color w:val="auto"/>
                                  <w:lang w:val="en-US" w:eastAsia="ja-JP" w:bidi="ar-SA"/>
                                </w:rPr>
                                <w:t>-</w:t>
                              </w: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Arial" w:hAnsi="Arial" w:eastAsia="ＭＳ 明朝;MS Mincho" w:cs="Arial"/>
                                  <w:color w:val="auto"/>
                                  <w:lang w:val="en-US" w:eastAsia="ja-JP" w:bidi="ar-SA"/>
                                </w:rPr>
                              </w: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Arial" w:hAnsi="Arial" w:eastAsia="ＭＳ 明朝;MS Mincho" w:cs="Arial"/>
                                  <w:color w:val="auto"/>
                                  <w:lang w:val="en-US" w:eastAsia="ja-JP" w:bidi="ar-SA"/>
                                </w:rPr>
                                <w:t>Cursos de treinamento por nível de equipe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start="142" w:hanging="142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Arial" w:hAnsi="Arial" w:eastAsia="ＭＳ 明朝;MS Mincho" w:cs="Arial"/>
                                  <w:color w:val="auto"/>
                                  <w:lang w:val="en-US" w:eastAsia="ja-JP" w:bidi="ar-SA"/>
                                </w:rPr>
                                <w:t>-</w:t>
                              </w: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Arial" w:hAnsi="Arial" w:eastAsia="ＭＳ 明朝;MS Mincho" w:cs="Arial"/>
                                  <w:color w:val="auto"/>
                                  <w:lang w:val="en-US" w:eastAsia="ja-JP" w:bidi="ar-SA"/>
                                </w:rPr>
                              </w: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Arial" w:hAnsi="Arial" w:eastAsia="ＭＳ 明朝;MS Mincho" w:cs="Arial"/>
                                  <w:color w:val="auto"/>
                                  <w:lang w:val="en-US" w:eastAsia="ja-JP" w:bidi="ar-SA"/>
                                </w:rPr>
                                <w:t>Cursos de formação internos e externos por função de pessoal</w:t>
                              </w:r>
                            </w:p>
                          </w:txbxContent>
                        </wps:txbx>
                        <wps:bodyPr lIns="74160" rIns="74160" tIns="9000" bIns="9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06880" y="857160"/>
                            <a:ext cx="2279160" cy="1203840"/>
                          </a:xfrm>
                          <a:prstGeom prst="flowChartProcess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u w:val="single"/>
                                  <w:kern w:val="2"/>
                                  <w:szCs w:val="20"/>
                                  <w:rFonts w:ascii="Arial" w:hAnsi="Arial" w:eastAsia="ＭＳ 明朝;MS Mincho" w:cs="Arial"/>
                                  <w:color w:val="auto"/>
                                  <w:lang w:val="en-US" w:eastAsia="ja-JP" w:bidi="ar-SA"/>
                                </w:rPr>
                                <w:t>Educação e Treinamento Profissional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rPr/>
                              </w:pPr>
                              <w:r>
                                <w:rPr>
                                  <w:sz w:val="24"/>
                                  <w:kern w:val="2"/>
                                  <w:szCs w:val="24"/>
                                  <w:rFonts w:ascii="Liberation Serif" w:hAnsi="Liberation Serif" w:eastAsia="Noto Serif CJK SC" w:cs="Lohit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start="142" w:hanging="142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Arial" w:hAnsi="Arial" w:eastAsia="ＭＳ 明朝;MS Mincho" w:cs="Arial"/>
                                  <w:color w:val="auto"/>
                                  <w:lang w:val="en-US" w:eastAsia="ja-JP" w:bidi="ar-SA"/>
                                </w:rPr>
                                <w:t>-</w:t>
                              </w: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Arial" w:hAnsi="Arial" w:eastAsia="ＭＳ 明朝;MS Mincho" w:cs="Arial"/>
                                  <w:color w:val="auto"/>
                                  <w:lang w:val="en-US" w:eastAsia="ja-JP" w:bidi="ar-SA"/>
                                </w:rPr>
                              </w: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Arial" w:hAnsi="Arial" w:eastAsia="ＭＳ 明朝;MS Mincho" w:cs="Arial"/>
                                  <w:color w:val="auto"/>
                                  <w:lang w:val="en-US" w:eastAsia="ja-JP" w:bidi="ar-SA"/>
                                </w:rPr>
                                <w:t>Treinamento do Praticante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start="142" w:hanging="142"/>
                                <w:rPr/>
                              </w:pP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Arial" w:hAnsi="Arial" w:eastAsia="ＭＳ 明朝;MS Mincho" w:cs="Arial"/>
                                  <w:color w:val="auto"/>
                                  <w:lang w:val="en-US" w:eastAsia="ja-JP" w:bidi="ar-SA"/>
                                </w:rPr>
                                <w:t>-</w:t>
                              </w: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Arial" w:hAnsi="Arial" w:eastAsia="ＭＳ 明朝;MS Mincho" w:cs="Arial"/>
                                  <w:color w:val="auto"/>
                                  <w:lang w:val="en-US" w:eastAsia="ja-JP" w:bidi="ar-SA"/>
                                </w:rPr>
                              </w:r>
                              <w:r>
                                <w:rPr>
                                  <w:sz w:val="20"/>
                                  <w:kern w:val="2"/>
                                  <w:szCs w:val="20"/>
                                  <w:rFonts w:ascii="Arial" w:hAnsi="Arial" w:eastAsia="ＭＳ 明朝;MS Mincho" w:cs="Arial"/>
                                  <w:color w:val="auto"/>
                                  <w:lang w:val="en-US" w:eastAsia="ja-JP" w:bidi="ar-SA"/>
                                </w:rPr>
                                <w:t>Educação e Treinamento para o pessoal envolvido em processos e operações que exijam qualificação e credenciamento.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rPr/>
                              </w:pPr>
                              <w:r>
                                <w:rPr>
                                  <w:sz w:val="24"/>
                                  <w:kern w:val="2"/>
                                  <w:szCs w:val="24"/>
                                  <w:rFonts w:ascii="Liberation Serif" w:hAnsi="Liberation Serif" w:eastAsia="Noto Serif CJK SC" w:cs="Lohit Devanagari"/>
                                  <w:lang w:eastAsia="zh-CN" w:bidi="hi-IN"/>
                                </w:rPr>
                              </w:r>
                            </w:p>
                          </w:txbxContent>
                        </wps:txbx>
                        <wps:bodyPr lIns="74160" rIns="74160" tIns="9000" bIns="9000">
                          <a:noAutofit/>
                        </wps:bodyPr>
                      </wps:wsp>
                      <wps:cxnSp>
                        <wps:nvCxnSpPr>
                          <wps:cNvPr id="1" name="Line 2"/>
                          <wps:cNvCxnSpPr/>
                          <wps:nvPr/>
                        </wps:nvCxnSpPr>
                        <wps:spPr>
                          <a:xfrm>
                            <a:off x="1170360" y="857160"/>
                            <a:ext cx="360" cy="360"/>
                          </a:xfrm>
                          <a:prstGeom prst="bentConnector3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cxnSp>
                      <wps:cxnSp>
                        <wps:nvCxnSpPr>
                          <wps:cNvPr id="2" name="Line 3"/>
                          <wps:cNvCxnSpPr/>
                          <wps:nvPr/>
                        </wps:nvCxnSpPr>
                        <wps:spPr>
                          <a:xfrm>
                            <a:off x="3446280" y="857160"/>
                            <a:ext cx="360" cy="360"/>
                          </a:xfrm>
                          <a:prstGeom prst="bentConnector3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cxnSp>
                    </wpg:wgp>
                  </a:graphicData>
                </a:graphic>
              </wp:inline>
            </w:drawing>
          </mc:Choice>
          <mc:Fallback>
            <w:pict>
              <v:group id="shape_0" alt="キャンバス 25" style="position:absolute;margin-left:0pt;margin-top:0pt;width:367.2pt;height:172.25pt" coordorigin="0,0" coordsize="7344,3445">
                <v:rect id="shape_0" stroked="f" style="position:absolute;left:0;top:0;width:7343;height:3444;mso-wrap-style:none;v-text-anchor:middle;mso-position-horizontal-relative:char">
                  <v:fill o:detectmouseclick="t" on="false"/>
                  <v:stroke color="#3465a4" joinstyle="round" endcap="flat"/>
                  <w10:wrap type="none"/>
                </v:rect>
                <v:shape id="shape_0" ID="AutoShape 26" stroked="t" style="position:absolute;left:1395;top:124;width:4474;height:415;mso-wrap-style:square;v-text-anchor:top;mso-position-horizontal-relative:char" type="shapetype_109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Arial" w:hAnsi="Arial" w:eastAsia="ＭＳ 明朝;MS Mincho" w:cs="Arial"/>
                            <w:color w:val="auto"/>
                            <w:lang w:val="en-US" w:eastAsia="ja-JP" w:bidi="ar-SA"/>
                          </w:rPr>
                          <w:t>Educação e treinamento para a equipe de fabricação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</v:shape>
                <v:shape id="shape_0" ID="AutoShape 27" stroked="t" style="position:absolute;left:254;top:1350;width:3178;height:1895;mso-wrap-style:square;v-text-anchor:top;mso-position-horizontal-relative:char" type="shapetype_109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0"/>
                            <w:u w:val="single"/>
                            <w:kern w:val="2"/>
                            <w:szCs w:val="20"/>
                            <w:rFonts w:ascii="Arial" w:hAnsi="Arial" w:eastAsia="ＭＳ 明朝;MS Mincho" w:cs="Arial"/>
                            <w:color w:val="auto"/>
                            <w:lang w:val="en-US" w:eastAsia="ja-JP" w:bidi="ar-SA"/>
                          </w:rPr>
                          <w:t>Educação geral e treinamento</w:t>
                        </w:r>
                      </w:p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sz w:val="24"/>
                            <w:kern w:val="2"/>
                            <w:szCs w:val="24"/>
                            <w:rFonts w:ascii="Liberation Serif" w:hAnsi="Liberation Serif" w:eastAsia="Noto Serif CJK SC" w:cs="Lohit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ind w:start="142" w:hanging="142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Arial" w:hAnsi="Arial" w:eastAsia="ＭＳ 明朝;MS Mincho" w:cs="Arial"/>
                            <w:color w:val="auto"/>
                            <w:lang w:val="en-US" w:eastAsia="ja-JP" w:bidi="ar-SA"/>
                          </w:rPr>
                          <w:t>-</w:t>
                        </w:r>
                        <w:r>
                          <w:rPr>
                            <w:sz w:val="20"/>
                            <w:kern w:val="2"/>
                            <w:szCs w:val="20"/>
                            <w:rFonts w:ascii="Arial" w:hAnsi="Arial" w:eastAsia="ＭＳ 明朝;MS Mincho" w:cs="Arial"/>
                            <w:color w:val="auto"/>
                            <w:lang w:val="en-US" w:eastAsia="ja-JP" w:bidi="ar-SA"/>
                          </w:rPr>
                        </w:r>
                        <w:r>
                          <w:rPr>
                            <w:sz w:val="20"/>
                            <w:kern w:val="2"/>
                            <w:szCs w:val="20"/>
                            <w:rFonts w:ascii="Arial" w:hAnsi="Arial" w:eastAsia="ＭＳ 明朝;MS Mincho" w:cs="Arial"/>
                            <w:color w:val="auto"/>
                            <w:lang w:val="en-US" w:eastAsia="ja-JP" w:bidi="ar-SA"/>
                          </w:rPr>
                          <w:t>Cursos de treinamento por nível de equipe</w:t>
                        </w:r>
                      </w:p>
                      <w:p>
                        <w:pPr>
                          <w:overflowPunct w:val="false"/>
                          <w:bidi w:val="0"/>
                          <w:ind w:start="142" w:hanging="142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Arial" w:hAnsi="Arial" w:eastAsia="ＭＳ 明朝;MS Mincho" w:cs="Arial"/>
                            <w:color w:val="auto"/>
                            <w:lang w:val="en-US" w:eastAsia="ja-JP" w:bidi="ar-SA"/>
                          </w:rPr>
                          <w:t>-</w:t>
                        </w:r>
                        <w:r>
                          <w:rPr>
                            <w:sz w:val="20"/>
                            <w:kern w:val="2"/>
                            <w:szCs w:val="20"/>
                            <w:rFonts w:ascii="Arial" w:hAnsi="Arial" w:eastAsia="ＭＳ 明朝;MS Mincho" w:cs="Arial"/>
                            <w:color w:val="auto"/>
                            <w:lang w:val="en-US" w:eastAsia="ja-JP" w:bidi="ar-SA"/>
                          </w:rPr>
                        </w:r>
                        <w:r>
                          <w:rPr>
                            <w:sz w:val="20"/>
                            <w:kern w:val="2"/>
                            <w:szCs w:val="20"/>
                            <w:rFonts w:ascii="Arial" w:hAnsi="Arial" w:eastAsia="ＭＳ 明朝;MS Mincho" w:cs="Arial"/>
                            <w:color w:val="auto"/>
                            <w:lang w:val="en-US" w:eastAsia="ja-JP" w:bidi="ar-SA"/>
                          </w:rPr>
                          <w:t>Cursos de formação internos e externos por função de pessoal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</v:shape>
                <v:shape id="shape_0" ID="AutoShape 28" stroked="t" style="position:absolute;left:3633;top:1350;width:3588;height:1895;mso-wrap-style:square;v-text-anchor:top;mso-position-horizontal-relative:char" type="shapetype_109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0"/>
                            <w:u w:val="single"/>
                            <w:kern w:val="2"/>
                            <w:szCs w:val="20"/>
                            <w:rFonts w:ascii="Arial" w:hAnsi="Arial" w:eastAsia="ＭＳ 明朝;MS Mincho" w:cs="Arial"/>
                            <w:color w:val="auto"/>
                            <w:lang w:val="en-US" w:eastAsia="ja-JP" w:bidi="ar-SA"/>
                          </w:rPr>
                          <w:t>Educação e Treinamento Profissional</w:t>
                        </w:r>
                      </w:p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sz w:val="24"/>
                            <w:kern w:val="2"/>
                            <w:szCs w:val="24"/>
                            <w:rFonts w:ascii="Liberation Serif" w:hAnsi="Liberation Serif" w:eastAsia="Noto Serif CJK SC" w:cs="Lohit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ind w:start="142" w:hanging="142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Arial" w:hAnsi="Arial" w:eastAsia="ＭＳ 明朝;MS Mincho" w:cs="Arial"/>
                            <w:color w:val="auto"/>
                            <w:lang w:val="en-US" w:eastAsia="ja-JP" w:bidi="ar-SA"/>
                          </w:rPr>
                          <w:t>-</w:t>
                        </w:r>
                        <w:r>
                          <w:rPr>
                            <w:sz w:val="20"/>
                            <w:kern w:val="2"/>
                            <w:szCs w:val="20"/>
                            <w:rFonts w:ascii="Arial" w:hAnsi="Arial" w:eastAsia="ＭＳ 明朝;MS Mincho" w:cs="Arial"/>
                            <w:color w:val="auto"/>
                            <w:lang w:val="en-US" w:eastAsia="ja-JP" w:bidi="ar-SA"/>
                          </w:rPr>
                        </w:r>
                        <w:r>
                          <w:rPr>
                            <w:sz w:val="20"/>
                            <w:kern w:val="2"/>
                            <w:szCs w:val="20"/>
                            <w:rFonts w:ascii="Arial" w:hAnsi="Arial" w:eastAsia="ＭＳ 明朝;MS Mincho" w:cs="Arial"/>
                            <w:color w:val="auto"/>
                            <w:lang w:val="en-US" w:eastAsia="ja-JP" w:bidi="ar-SA"/>
                          </w:rPr>
                          <w:t>Treinamento do Praticante</w:t>
                        </w:r>
                      </w:p>
                      <w:p>
                        <w:pPr>
                          <w:overflowPunct w:val="false"/>
                          <w:bidi w:val="0"/>
                          <w:ind w:start="142" w:hanging="142"/>
                          <w:rPr/>
                        </w:pPr>
                        <w:r>
                          <w:rPr>
                            <w:sz w:val="20"/>
                            <w:kern w:val="2"/>
                            <w:szCs w:val="20"/>
                            <w:rFonts w:ascii="Arial" w:hAnsi="Arial" w:eastAsia="ＭＳ 明朝;MS Mincho" w:cs="Arial"/>
                            <w:color w:val="auto"/>
                            <w:lang w:val="en-US" w:eastAsia="ja-JP" w:bidi="ar-SA"/>
                          </w:rPr>
                          <w:t>-</w:t>
                        </w:r>
                        <w:r>
                          <w:rPr>
                            <w:sz w:val="20"/>
                            <w:kern w:val="2"/>
                            <w:szCs w:val="20"/>
                            <w:rFonts w:ascii="Arial" w:hAnsi="Arial" w:eastAsia="ＭＳ 明朝;MS Mincho" w:cs="Arial"/>
                            <w:color w:val="auto"/>
                            <w:lang w:val="en-US" w:eastAsia="ja-JP" w:bidi="ar-SA"/>
                          </w:rPr>
                        </w:r>
                        <w:r>
                          <w:rPr>
                            <w:sz w:val="20"/>
                            <w:kern w:val="2"/>
                            <w:szCs w:val="20"/>
                            <w:rFonts w:ascii="Arial" w:hAnsi="Arial" w:eastAsia="ＭＳ 明朝;MS Mincho" w:cs="Arial"/>
                            <w:color w:val="auto"/>
                            <w:lang w:val="en-US" w:eastAsia="ja-JP" w:bidi="ar-SA"/>
                          </w:rPr>
                          <w:t>Educação e Treinamento para o pessoal envolvido em processos e operações que exijam qualificação e credenciamento.</w:t>
                        </w:r>
                      </w:p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sz w:val="24"/>
                            <w:kern w:val="2"/>
                            <w:szCs w:val="24"/>
                            <w:rFonts w:ascii="Liberation Serif" w:hAnsi="Liberation Serif" w:eastAsia="Noto Serif CJK SC" w:cs="Lohit Devanagari"/>
                            <w:lang w:eastAsia="zh-CN" w:bidi="hi-IN"/>
                          </w:rPr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</v:shape>
                <v:shape id="shape_0" ID="AutoShape 29" stroked="t" style="position:absolute;left:1843;top:1350;width:0;height:0;rotation:90;mso-position-horizontal-relative:char" type="shapetype_33">
                  <v:stroke color="black" weight="9360" joinstyle="miter" endcap="flat"/>
                  <v:fill o:detectmouseclick="t" on="false"/>
                </v:shape>
                <v:shape id="shape_0" ID="AutoShape 30" stroked="t" style="position:absolute;left:5427;top:1350;width:0;height:0;rotation:90;mso-position-horizontal-relative:char" type="shapetype_33">
                  <v:stroke color="black" weight="9360" joinstyle="miter" endcap="flat"/>
                  <v:fill o:detectmouseclick="t" on="false"/>
                </v:shape>
              </v:group>
            </w:pict>
          </mc:Fallback>
        </mc:AlternateContent>
      </w:r>
    </w:p>
    <w:sectPr>
      <w:headerReference w:type="default" r:id="rId4"/>
      <w:footerReference w:type="default" r:id="rId5"/>
      <w:type w:val="nextPage"/>
      <w:pgSz w:w="11906" w:h="16838"/>
      <w:pgMar w:left="1134" w:right="465" w:header="567" w:top="1151" w:footer="284" w:bottom="65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ＭＳ 明朝">
    <w:altName w:val="MS Mincho"/>
    <w:charset w:val="80"/>
    <w:family w:val="roma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cs="Arial"/>
        <w:kern w:val="2"/>
        <w:szCs w:val="22"/>
      </w:rPr>
    </w:pPr>
    <w:r>
      <w:rPr>
        <w:rFonts w:cs="Arial"/>
        <w:kern w:val="2"/>
        <w:szCs w:val="22"/>
      </w:rPr>
      <w:t>Empresa de Eletrodomésticos, Panasonic Corporation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  <w: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align>left</wp:align>
              </wp:positionH>
              <wp:positionV relativeFrom="line">
                <wp:posOffset>635</wp:posOffset>
              </wp:positionV>
              <wp:extent cx="6259830" cy="364490"/>
              <wp:effectExtent l="0" t="0" r="0" b="0"/>
              <wp:wrapNone/>
              <wp:docPr id="4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59830" cy="364490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tbl>
                          <w:tblPr>
                            <w:tblW w:w="9858" w:type="dxa"/>
                            <w:jc w:val="start"/>
                            <w:tblInd w:w="-138" w:type="dxa"/>
                            <w:tblLayout w:type="fixed"/>
                            <w:tblCellMar>
                              <w:top w:w="0" w:type="dxa"/>
                              <w:start w:w="108" w:type="dxa"/>
                              <w:bottom w:w="0" w:type="dxa"/>
                              <w:end w:w="108" w:type="dxa"/>
                            </w:tblCellMar>
                          </w:tblPr>
                          <w:tblGrid>
                            <w:gridCol w:w="2268"/>
                            <w:gridCol w:w="5954"/>
                            <w:gridCol w:w="1636"/>
                          </w:tblGrid>
                          <w:tr>
                            <w:trPr/>
                            <w:tc>
                              <w:tcPr>
                                <w:tcW w:w="2268" w:type="dxa"/>
                                <w:tcBorders>
                                  <w:top w:val="single" w:sz="12" w:space="0" w:color="000000"/>
                                  <w:start w:val="single" w:sz="12" w:space="0" w:color="000000"/>
                                  <w:bottom w:val="single" w:sz="6" w:space="0" w:color="000000"/>
                                  <w:end w:val="single" w:sz="6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840"/>
                                  </w:tabs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  <w:kern w:val="2"/>
                                    <w:szCs w:val="22"/>
                                  </w:rPr>
                                  <w:t>Nº padrão</w:t>
                                </w:r>
                              </w:p>
                            </w:tc>
                            <w:tc>
                              <w:tcPr>
                                <w:tcW w:w="5954" w:type="dxa"/>
                                <w:vMerge w:val="restart"/>
                                <w:tcBorders>
                                  <w:top w:val="single" w:sz="12" w:space="0" w:color="000000"/>
                                  <w:start w:val="single" w:sz="6" w:space="0" w:color="000000"/>
                                  <w:bottom w:val="single" w:sz="4" w:space="0" w:color="000000"/>
                                  <w:end w:val="single" w:sz="6" w:space="0" w:color="000000"/>
                                </w:tcBorders>
                                <w:vAlign w:val="center"/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840"/>
                                  </w:tabs>
                                  <w:jc w:val="center"/>
                                  <w:rPr>
                                    <w:rFonts w:cs="Arial"/>
                                    <w:b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kern w:val="2"/>
                                    <w:sz w:val="24"/>
                                    <w:szCs w:val="22"/>
                                  </w:rPr>
                                  <w:t>Padrões de Treinamento de Produção</w:t>
                                </w:r>
                              </w:p>
                            </w:tc>
                            <w:tc>
                              <w:tcPr>
                                <w:tcW w:w="1636" w:type="dxa"/>
                                <w:tcBorders>
                                  <w:top w:val="single" w:sz="12" w:space="0" w:color="000000"/>
                                  <w:start w:val="single" w:sz="6" w:space="0" w:color="000000"/>
                                  <w:bottom w:val="single" w:sz="6" w:space="0" w:color="000000"/>
                                  <w:end w:val="single" w:sz="12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840"/>
                                    <w:tab w:val="center" w:pos="1032" w:leader="none"/>
                                  </w:tabs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  <w:kern w:val="2"/>
                                    <w:szCs w:val="22"/>
                                  </w:rPr>
                                  <w:t xml:space="preserve">Página:</w:t>
                                </w:r>
                                <w:r>
                                  <w:rPr>
                                    <w:rFonts w:cs="Arial"/>
                                    <w:kern w:val="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rPr>
                                    <w:kern w:val="2"/>
                                    <w:szCs w:val="22"/>
                                    <w:rFonts w:cs="Arial"/>
                                  </w:rPr>
                                  <w:instrText> PAGE </w:instrText>
                                </w:r>
                                <w:r>
                                  <w:rPr>
                                    <w:kern w:val="2"/>
                                    <w:szCs w:val="22"/>
                                    <w:rFonts w:cs="Arial"/>
                                  </w:rPr>
                                  <w:fldChar w:fldCharType="separate"/>
                                </w:r>
                                <w:r>
                                  <w:rPr>
                                    <w:kern w:val="2"/>
                                    <w:szCs w:val="22"/>
                                    <w:rFonts w:cs="Arial"/>
                                  </w:rPr>
                                  <w:t>1</w:t>
                                </w:r>
                                <w:r>
                                  <w:rPr>
                                    <w:kern w:val="2"/>
                                    <w:szCs w:val="22"/>
                                    <w:rFonts w:cs="Arial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cs="Arial"/>
                                    <w:kern w:val="2"/>
                                    <w:szCs w:val="22"/>
                                  </w:rPr>
                                  <w:t>/2</w:t>
                                </w:r>
                              </w:p>
                            </w:tc>
                          </w:tr>
                          <w:tr>
                            <w:trPr/>
                            <w:tc>
                              <w:tcPr>
                                <w:tcW w:w="2268" w:type="dxa"/>
                                <w:tcBorders>
                                  <w:top w:val="single" w:sz="6" w:space="0" w:color="000000"/>
                                  <w:start w:val="single" w:sz="12" w:space="0" w:color="000000"/>
                                  <w:bottom w:val="single" w:sz="12" w:space="0" w:color="000000"/>
                                  <w:end w:val="single" w:sz="6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840"/>
                                  </w:tabs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  <w:kern w:val="2"/>
                                    <w:szCs w:val="22"/>
                                  </w:rPr>
                                  <w:t>APQ-BT-002</w:t>
                                </w:r>
                              </w:p>
                            </w:tc>
                            <w:tc>
                              <w:tcPr>
                                <w:tcW w:w="5954" w:type="dxa"/>
                                <w:vMerge w:val="continue"/>
                                <w:tcBorders>
                                  <w:top w:val="single" w:sz="12" w:space="0" w:color="000000"/>
                                  <w:start w:val="single" w:sz="6" w:space="0" w:color="000000"/>
                                  <w:bottom w:val="single" w:sz="4" w:space="0" w:color="000000"/>
                                  <w:end w:val="single" w:sz="6" w:space="0" w:color="000000"/>
                                </w:tcBorders>
                                <w:vAlign w:val="center"/>
                              </w:tcPr>
                              <w:p>
                                <w:pPr>
                                  <w:pStyle w:val="Header"/>
                                  <w:snapToGrid w:val="false"/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1636" w:type="dxa"/>
                                <w:tcBorders>
                                  <w:top w:val="single" w:sz="6" w:space="0" w:color="000000"/>
                                  <w:start w:val="single" w:sz="6" w:space="0" w:color="000000"/>
                                  <w:bottom w:val="single" w:sz="12" w:space="0" w:color="000000"/>
                                  <w:end w:val="single" w:sz="12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840"/>
                                    <w:tab w:val="center" w:pos="1032" w:leader="none"/>
                                  </w:tabs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  <w:kern w:val="2"/>
                                    <w:szCs w:val="22"/>
                                  </w:rPr>
                                  <w:t>Versão 1</w:t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492.9pt;height:28.7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<v:textbox inset="0in,0in,0in,0in">
                <w:txbxContent>
                  <w:tbl>
                    <w:tblPr>
                      <w:tblW w:w="9858" w:type="dxa"/>
                      <w:jc w:val="start"/>
                      <w:tblInd w:w="-138" w:type="dxa"/>
                      <w:tblLayout w:type="fixed"/>
                      <w:tblCellMar>
                        <w:top w:w="0" w:type="dxa"/>
                        <w:start w:w="108" w:type="dxa"/>
                        <w:bottom w:w="0" w:type="dxa"/>
                        <w:end w:w="108" w:type="dxa"/>
                      </w:tblCellMar>
                    </w:tblPr>
                    <w:tblGrid>
                      <w:gridCol w:w="2268"/>
                      <w:gridCol w:w="5954"/>
                      <w:gridCol w:w="1636"/>
                    </w:tblGrid>
                    <w:tr>
                      <w:trPr/>
                      <w:tc>
                        <w:tcPr>
                          <w:tcW w:w="2268" w:type="dxa"/>
                          <w:tcBorders>
                            <w:top w:val="single" w:sz="12" w:space="0" w:color="000000"/>
                            <w:start w:val="single" w:sz="12" w:space="0" w:color="000000"/>
                            <w:bottom w:val="single" w:sz="6" w:space="0" w:color="000000"/>
                            <w:end w:val="single" w:sz="6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lear" w:pos="840"/>
                            </w:tabs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kern w:val="2"/>
                              <w:szCs w:val="22"/>
                            </w:rPr>
                            <w:t>Nº padrão</w:t>
                          </w:r>
                        </w:p>
                      </w:tc>
                      <w:tc>
                        <w:tcPr>
                          <w:tcW w:w="5954" w:type="dxa"/>
                          <w:vMerge w:val="restart"/>
                          <w:tcBorders>
                            <w:top w:val="single" w:sz="12" w:space="0" w:color="000000"/>
                            <w:start w:val="single" w:sz="6" w:space="0" w:color="000000"/>
                            <w:bottom w:val="single" w:sz="4" w:space="0" w:color="000000"/>
                            <w:end w:val="single" w:sz="6" w:space="0" w:color="000000"/>
                          </w:tcBorders>
                          <w:vAlign w:val="center"/>
                        </w:tcPr>
                        <w:p>
                          <w:pPr>
                            <w:pStyle w:val="Header"/>
                            <w:tabs>
                              <w:tab w:val="clear" w:pos="840"/>
                            </w:tabs>
                            <w:jc w:val="center"/>
                            <w:rPr>
                              <w:rFonts w:cs="Arial"/>
                              <w:b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b/>
                              <w:kern w:val="2"/>
                              <w:sz w:val="24"/>
                              <w:szCs w:val="22"/>
                            </w:rPr>
                            <w:t>Padrões de Treinamento de Produção</w:t>
                          </w:r>
                        </w:p>
                      </w:tc>
                      <w:tc>
                        <w:tcPr>
                          <w:tcW w:w="1636" w:type="dxa"/>
                          <w:tcBorders>
                            <w:top w:val="single" w:sz="12" w:space="0" w:color="000000"/>
                            <w:start w:val="single" w:sz="6" w:space="0" w:color="000000"/>
                            <w:bottom w:val="single" w:sz="6" w:space="0" w:color="000000"/>
                            <w:end w:val="single" w:sz="12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lear" w:pos="840"/>
                              <w:tab w:val="center" w:pos="1032" w:leader="none"/>
                            </w:tabs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kern w:val="2"/>
                              <w:szCs w:val="22"/>
                            </w:rPr>
                            <w:t xml:space="preserve">Página:</w:t>
                          </w:r>
                          <w:r>
                            <w:rPr>
                              <w:rFonts w:cs="Arial"/>
                              <w:kern w:val="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kern w:val="2"/>
                              <w:szCs w:val="22"/>
                              <w:rFonts w:cs="Arial"/>
                            </w:rPr>
                            <w:instrText> PAGE </w:instrText>
                          </w:r>
                          <w:r>
                            <w:rPr>
                              <w:kern w:val="2"/>
                              <w:szCs w:val="22"/>
                              <w:rFonts w:cs="Arial"/>
                            </w:rPr>
                            <w:fldChar w:fldCharType="separate"/>
                          </w:r>
                          <w:r>
                            <w:rPr>
                              <w:kern w:val="2"/>
                              <w:szCs w:val="22"/>
                              <w:rFonts w:cs="Arial"/>
                            </w:rPr>
                            <w:t>1</w:t>
                          </w:r>
                          <w:r>
                            <w:rPr>
                              <w:kern w:val="2"/>
                              <w:szCs w:val="22"/>
                              <w:rFonts w:cs="Arial"/>
                            </w:rPr>
                            <w:fldChar w:fldCharType="end"/>
                          </w:r>
                          <w:r>
                            <w:rPr>
                              <w:rFonts w:cs="Arial"/>
                              <w:kern w:val="2"/>
                              <w:szCs w:val="22"/>
                            </w:rPr>
                            <w:t>/2</w:t>
                          </w:r>
                        </w:p>
                      </w:tc>
                    </w:tr>
                    <w:tr>
                      <w:trPr/>
                      <w:tc>
                        <w:tcPr>
                          <w:tcW w:w="2268" w:type="dxa"/>
                          <w:tcBorders>
                            <w:top w:val="single" w:sz="6" w:space="0" w:color="000000"/>
                            <w:start w:val="single" w:sz="12" w:space="0" w:color="000000"/>
                            <w:bottom w:val="single" w:sz="12" w:space="0" w:color="000000"/>
                            <w:end w:val="single" w:sz="6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lear" w:pos="840"/>
                            </w:tabs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kern w:val="2"/>
                              <w:szCs w:val="22"/>
                            </w:rPr>
                            <w:t>APQ-BT-002</w:t>
                          </w:r>
                        </w:p>
                      </w:tc>
                      <w:tc>
                        <w:tcPr>
                          <w:tcW w:w="5954" w:type="dxa"/>
                          <w:vMerge w:val="continue"/>
                          <w:tcBorders>
                            <w:top w:val="single" w:sz="12" w:space="0" w:color="000000"/>
                            <w:start w:val="single" w:sz="6" w:space="0" w:color="000000"/>
                            <w:bottom w:val="single" w:sz="4" w:space="0" w:color="000000"/>
                            <w:end w:val="single" w:sz="6" w:space="0" w:color="000000"/>
                          </w:tcBorders>
                          <w:vAlign w:val="center"/>
                        </w:tcPr>
                        <w:p>
                          <w:pPr>
                            <w:pStyle w:val="Header"/>
                            <w:snapToGrid w:val="false"/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Arial"/>
                              <w:sz w:val="20"/>
                              <w:szCs w:val="20"/>
                            </w:rPr>
                          </w:r>
                        </w:p>
                      </w:tc>
                      <w:tc>
                        <w:tcPr>
                          <w:tcW w:w="1636" w:type="dxa"/>
                          <w:tcBorders>
                            <w:top w:val="single" w:sz="6" w:space="0" w:color="000000"/>
                            <w:start w:val="single" w:sz="6" w:space="0" w:color="000000"/>
                            <w:bottom w:val="single" w:sz="12" w:space="0" w:color="000000"/>
                            <w:end w:val="single" w:sz="12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lear" w:pos="840"/>
                              <w:tab w:val="center" w:pos="1032" w:leader="none"/>
                            </w:tabs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kern w:val="2"/>
                              <w:szCs w:val="22"/>
                            </w:rPr>
                            <w:t>Versão 1</w:t>
                          </w:r>
                        </w:p>
                      </w:tc>
                    </w:tr>
                  </w:tbl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75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Arial" w:hAnsi="Arial" w:eastAsia="ＭＳ 明朝;MS Mincho" w:cs="Arial"/>
      <w:color w:val="auto"/>
      <w:sz w:val="21"/>
      <w:szCs w:val="21"/>
      <w:lang w:val="en-US" w:eastAsia="ja-JP" w:bidi="ar-SA"/>
    </w:rPr>
  </w:style>
  <w:style w:type="character" w:styleId="WW8Num1z0">
    <w:name w:val="WW8Num1z0"/>
    <w:qFormat/>
    <w:rPr>
      <w:rFonts w:ascii="ＭＳ 明朝;MS Mincho" w:hAnsi="ＭＳ 明朝;MS Mincho" w:eastAsia="ＭＳ 明朝;MS Mincho" w:cs="Times New Roman"/>
    </w:rPr>
  </w:style>
  <w:style w:type="character" w:styleId="WW8Num1z1">
    <w:name w:val="WW8Num1z1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Style14">
    <w:name w:val="段落フォント"/>
    <w:qFormat/>
    <w:rPr/>
  </w:style>
  <w:style w:type="character" w:styleId="Style15">
    <w:name w:val="コメント参照"/>
    <w:qFormat/>
    <w:rPr>
      <w:sz w:val="18"/>
      <w:szCs w:val="18"/>
      <w:lang w:val="en-US"/>
    </w:rPr>
  </w:style>
  <w:style w:type="character" w:styleId="InternetLink">
    <w:name w:val="Hyperlink"/>
    <w:rPr>
      <w:color w:val="0000FF"/>
      <w:u w:val="single"/>
      <w:lang w:val="en-US"/>
    </w:rPr>
  </w:style>
  <w:style w:type="character" w:styleId="VisitedInternetLink">
    <w:name w:val="FollowedHyperlink"/>
    <w:rPr>
      <w:color w:val="800080"/>
      <w:u w:val="single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84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napToGrid w:val="false"/>
    </w:pPr>
    <w:rPr/>
  </w:style>
  <w:style w:type="paragraph" w:styleId="Footer">
    <w:name w:val="Footer"/>
    <w:basedOn w:val="Normal"/>
    <w:pPr>
      <w:snapToGrid w:val="false"/>
    </w:pPr>
    <w:rPr/>
  </w:style>
  <w:style w:type="paragraph" w:styleId="Style16">
    <w:name w:val="吹き出し"/>
    <w:basedOn w:val="Normal"/>
    <w:qFormat/>
    <w:pPr/>
    <w:rPr>
      <w:rFonts w:eastAsia="ＭＳ ゴシック;MS Gothic"/>
      <w:sz w:val="18"/>
      <w:szCs w:val="18"/>
    </w:rPr>
  </w:style>
  <w:style w:type="paragraph" w:styleId="Style17">
    <w:name w:val="コメント文字列"/>
    <w:basedOn w:val="Normal"/>
    <w:qFormat/>
    <w:pPr/>
    <w:rPr/>
  </w:style>
  <w:style w:type="paragraph" w:styleId="Style18">
    <w:name w:val="コメント内容"/>
    <w:basedOn w:val="Style17"/>
    <w:next w:val="Style17"/>
    <w:qFormat/>
    <w:pPr/>
    <w:rPr>
      <w:rFonts w:cs="ＭＳ 明朝;MS Mincho"/>
      <w:b/>
      <w:bCs/>
    </w:rPr>
  </w:style>
  <w:style w:type="paragraph" w:styleId="Style19">
    <w:name w:val="リスト段落"/>
    <w:basedOn w:val="Normal"/>
    <w:qFormat/>
    <w:pPr>
      <w:ind w:start="840" w:hanging="0"/>
    </w:pPr>
    <w:rPr/>
  </w:style>
  <w:style w:type="paragraph" w:styleId="1">
    <w:name w:val="(1)"/>
    <w:basedOn w:val="Normal"/>
    <w:qFormat/>
    <w:pPr>
      <w:snapToGrid w:val="false"/>
      <w:ind w:start="692" w:hanging="484"/>
    </w:pPr>
    <w:rPr>
      <w:rFonts w:eastAsia="ＭＳ Ｐゴシック" w:cs="Arial"/>
      <w:color w:val="000000"/>
      <w:sz w:val="20"/>
      <w:szCs w:val="20"/>
    </w:rPr>
  </w:style>
  <w:style w:type="paragraph" w:styleId="11">
    <w:name w:val="1."/>
    <w:basedOn w:val="Normal"/>
    <w:qFormat/>
    <w:pPr>
      <w:snapToGrid w:val="false"/>
      <w:ind w:start="350" w:hanging="350"/>
    </w:pPr>
    <w:rPr>
      <w:rFonts w:eastAsia="ＭＳ Ｐゴシック" w:cs="Arial"/>
      <w:sz w:val="20"/>
      <w:szCs w:val="20"/>
    </w:rPr>
  </w:style>
  <w:style w:type="paragraph" w:styleId="111">
    <w:name w:val="1.1"/>
    <w:basedOn w:val="Normal"/>
    <w:qFormat/>
    <w:pPr>
      <w:snapToGrid w:val="false"/>
      <w:ind w:start="658" w:hanging="469"/>
    </w:pPr>
    <w:rPr>
      <w:rFonts w:eastAsia="ＭＳ Ｐゴシック" w:cs="Arial"/>
      <w:color w:val="000000"/>
      <w:sz w:val="20"/>
      <w:szCs w:val="20"/>
    </w:rPr>
  </w:style>
  <w:style w:type="paragraph" w:styleId="Bun">
    <w:name w:val="bun"/>
    <w:basedOn w:val="Normal"/>
    <w:qFormat/>
    <w:pPr>
      <w:snapToGrid w:val="false"/>
      <w:ind w:firstLine="4"/>
    </w:pPr>
    <w:rPr>
      <w:rFonts w:eastAsia="ＭＳ Ｐゴシック" w:cs="Arial"/>
      <w:sz w:val="20"/>
      <w:szCs w:val="20"/>
    </w:rPr>
  </w:style>
  <w:style w:type="paragraph" w:styleId="Ten">
    <w:name w:val="ten"/>
    <w:basedOn w:val="Normal"/>
    <w:qFormat/>
    <w:pPr>
      <w:ind w:start="858" w:hanging="224"/>
    </w:pPr>
    <w:rPr>
      <w:sz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web.mei.co.jp/gcms/HACMS/DirectAccess?disp=WS20007R&amp;subpDocId=DOC00011581&amp;subpId=SBP033&amp;lang=ja&amp;ui=ja" TargetMode="External"/><Relationship Id="rId3" Type="http://schemas.openxmlformats.org/officeDocument/2006/relationships/hyperlink" Target="http://iweb.mei.co.jp/gcms/HACMS/DirectAccess?disp=WS20007R&amp;subpDocId=DOC00011581&amp;subpId=SBP033&amp;lang=ja&amp;ui=ja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Relationship Id="r_odt_hyperlink" Type="http://schemas.openxmlformats.org/officeDocument/2006/relationships/hyperlink" Target="https://www.onlinedoctranslator.com/pt/?utm_source=onlinedoctranslator&amp;utm_medium=doc&amp;utm_campaign=attribution" TargetMode="External"/><Relationship Id="r_odt_logo" Type="http://schemas.openxmlformats.org/officeDocument/2006/relationships/image" Target="media/odt_attribution_logo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LibreOffice/7.0.6.2$Linux_X86_64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2014-04-15T07:40:00Z</dcterms:created>
  <dc:creator>TERADA_Haruhiro_terada.haruhiro@jp.panasonic.com</dc:creator>
  <dc:description/>
  <cp:keywords> </cp:keywords>
  <dc:language>en-US</dc:language>
  <cp:lastModifiedBy>や~まだ</cp:lastModifiedBy>
  <cp:lastPrinted>2014-04-08T17:44:00Z</cp:lastPrinted>
  <dcterms:modified xsi:type="dcterms:W3CDTF">2015-04-08T02:13:00Z</dcterms:modified>
  <cp:revision>5</cp:revision>
  <dc:subject/>
  <dc:title>１</dc:title>
</cp:coreProperties>
</file>