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jc w:val="start"/>
        <w:rPr/>
      </w:pPr>
      <w:r>
        <w:rPr/>
      </w:r>
      <w:r>
        <mc:AlternateContent>
          <mc:Choice Requires="wps">
            <w:drawing>
              <wp:anchor behindDoc="0" distT="0" distB="0" distL="0" distR="90170" simplePos="0" locked="0" layoutInCell="0" allowOverlap="1" relativeHeight="3">
                <wp:simplePos x="0" y="0"/>
                <wp:positionH relativeFrom="column">
                  <wp:posOffset>-68580</wp:posOffset>
                </wp:positionH>
                <wp:positionV relativeFrom="paragraph">
                  <wp:posOffset>635</wp:posOffset>
                </wp:positionV>
                <wp:extent cx="6237605" cy="10692130"/>
                <wp:effectExtent l="0" t="0" r="0" b="0"/>
                <wp:wrapSquare wrapText="bothSides"/>
                <wp:docPr id="1" name="Frame4"/>
                <a:graphic xmlns:a="http://schemas.openxmlformats.org/drawingml/2006/main">
                  <a:graphicData uri="http://schemas.microsoft.com/office/word/2010/wordprocessingShape">
                    <wps:wsp>
                      <wps:cNvSpPr txBox="1"/>
                      <wps:spPr>
                        <a:xfrm>
                          <a:off x="0" y="0"/>
                          <a:ext cx="6237605" cy="10692130"/>
                        </a:xfrm>
                        <a:prstGeom prst="rect"/>
                        <a:solidFill>
                          <a:srgbClr val="FFFFFF">
                            <a:alpha val="0"/>
                          </a:srgbClr>
                        </a:solidFill>
                      </wps:spPr>
                      <wps:txbx>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bookmarkStart w:id="0" w:name="OLE_LINK4"/>
                                  <w:bookmarkStart w:id="1" w:name="OLE_LINK3"/>
                                  <w:bookmarkStart w:id="2" w:name="OLE_LINK4"/>
                                  <w:bookmarkStart w:id="3" w:name="OLE_LINK3"/>
                                  <w:bookmarkEnd w:id="2"/>
                                  <w:bookmarkEnd w:id="3"/>
                                </w:p>
                                <w:p>
                                  <w:pPr>
                                    <w:pStyle w:val="Normal"/>
                                    <w:numPr>
                                      <w:ilvl w:val="1"/>
                                      <w:numId w:val="1"/>
                                    </w:numPr>
                                    <w:snapToGrid w:val="false"/>
                                    <w:spacing w:lineRule="atLeast" w:line="20"/>
                                    <w:ind w:start="284" w:hanging="284"/>
                                    <w:jc w:val="start"/>
                                    <w:rPr>
                                      <w:rFonts w:ascii="Arial" w:hAnsi="Arial" w:cs="Arial"/>
                                      <w:sz w:val="21"/>
                                      <w:szCs w:val="21"/>
                                    </w:rPr>
                                  </w:pPr>
                                  <w:r>
                                    <w:rPr>
                                      <w:rFonts w:cs="Arial" w:ascii="Arial" w:hAnsi="Arial"/>
                                      <w:sz w:val="21"/>
                                      <w:szCs w:val="21"/>
                                    </w:rPr>
                                    <w:t>Propósito</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color w:val="00B0F0"/>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Estabelecimento, revisão,</w:t>
                                  </w:r>
                                  <w:r>
                                    <w:rPr>
                                      <w:rFonts w:cs="Arial" w:ascii="Arial" w:hAnsi="Arial"/>
                                      <w:color w:val="00B0F0"/>
                                      <w:sz w:val="21"/>
                                      <w:szCs w:val="21"/>
                                    </w:rPr>
                                    <w:t>revogação</w:t>
                                  </w:r>
                                  <w:r>
                                    <w:rPr>
                                      <w:rFonts w:cs="Arial" w:ascii="Arial" w:hAnsi="Arial"/>
                                      <w:sz w:val="21"/>
                                      <w:szCs w:val="21"/>
                                    </w:rPr>
                                    <w:t>, e</w:t>
                                  </w:r>
                                  <w:r>
                                    <w:rPr>
                                      <w:rFonts w:cs="Arial" w:ascii="Arial" w:hAnsi="Arial"/>
                                      <w:color w:val="00B0F0"/>
                                      <w:sz w:val="21"/>
                                      <w:szCs w:val="21"/>
                                    </w:rPr>
                                    <w:t xml:space="preserve">emissão</w:t>
                                  </w:r>
                                </w:p>
                                <w:p>
                                  <w:pPr>
                                    <w:pStyle w:val="Normal"/>
                                    <w:tabs>
                                      <w:tab w:val="clear" w:pos="840"/>
                                      <w:tab w:val="left" w:pos="284" w:leader="none"/>
                                    </w:tabs>
                                    <w:snapToGrid w:val="false"/>
                                    <w:spacing w:lineRule="auto" w:line="252"/>
                                    <w:ind w:start="567" w:hanging="567"/>
                                    <w:jc w:val="start"/>
                                    <w:rPr>
                                      <w:rFonts w:ascii="Arial" w:hAnsi="Arial" w:cs="Arial"/>
                                      <w:color w:val="00B0F0"/>
                                      <w:sz w:val="21"/>
                                      <w:szCs w:val="21"/>
                                    </w:rPr>
                                  </w:pPr>
                                  <w:r>
                                    <w:rPr>
                                      <w:rFonts w:cs="Arial" w:ascii="Arial" w:hAnsi="Arial"/>
                                      <w:color w:val="00B0F0"/>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Definições</w:t>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ind w:start="265" w:hanging="265"/>
                                    <w:jc w:val="start"/>
                                    <w:rPr>
                                      <w:rFonts w:ascii="Arial" w:hAnsi="Arial" w:cs="Arial"/>
                                      <w:sz w:val="21"/>
                                      <w:szCs w:val="21"/>
                                    </w:rPr>
                                  </w:pPr>
                                  <w:r>
                                    <w:rPr>
                                      <w:rFonts w:cs="Arial" w:ascii="Arial" w:hAnsi="Arial"/>
                                      <w:sz w:val="21"/>
                                      <w:szCs w:val="21"/>
                                    </w:rPr>
                                    <w:t>5</w:t>
                                  </w:r>
                                  <w:r>
                                    <w:rPr>
                                      <w:rFonts w:cs="Arial" w:ascii="Arial" w:hAnsi="Arial"/>
                                      <w:sz w:val="21"/>
                                      <w:szCs w:val="21"/>
                                    </w:rPr>
                                    <w:tab/>
                                    <w:t>Elaboração de iniciação de desenvolvimento para novas peças/materiais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0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6.1 Plano para 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6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6.2 Implementação e avaliação de testes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Autenticação do processo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Autorização de aceitação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9.</w:t>
                                  </w:r>
                                  <w:r>
                                    <w:rPr>
                                      <w:rFonts w:cs="Arial" w:ascii="Arial" w:hAnsi="Arial"/>
                                      <w:sz w:val="21"/>
                                      <w:szCs w:val="21"/>
                                    </w:rPr>
                                    <w:tab/>
                                  </w:r>
                                  <w:r>
                                    <w:rPr>
                                      <w:rFonts w:cs="Arial" w:ascii="Arial" w:hAnsi="Arial"/>
                                      <w:sz w:val="21"/>
                                      <w:szCs w:val="21"/>
                                    </w:rPr>
                                    <w:t>Troca de especificações de entrega</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O propósito destas Normas é assegurar de forma suave e eficiente a qualidade de novos</w:t>
                                  </w:r>
                                  <w:r>
                                    <w:rPr>
                                      <w:rFonts w:cs="Arial" w:ascii="Arial" w:hAnsi="Arial"/>
                                      <w:color w:val="00B0F0"/>
                                      <w:sz w:val="21"/>
                                      <w:szCs w:val="21"/>
                                    </w:rPr>
                                    <w:t>componentes</w:t>
                                  </w:r>
                                  <w:r>
                                    <w:rPr>
                                      <w:rFonts w:cs="Arial" w:ascii="Arial" w:hAnsi="Arial"/>
                                      <w:sz w:val="21"/>
                                      <w:szCs w:val="21"/>
                                    </w:rPr>
                                    <w:t>/materiais com base nas “Regras de Controle de Desenvolvimento” (APQ-AD-001).</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 xml:space="preserve">Estas Normas aplicam-se a novos</w:t>
                                  </w:r>
                                  <w:r>
                                    <w:rPr>
                                      <w:rFonts w:cs="Arial" w:ascii="Arial" w:hAnsi="Arial"/>
                                      <w:color w:val="00B0F0"/>
                                      <w:sz w:val="21"/>
                                      <w:szCs w:val="21"/>
                                    </w:rPr>
                                    <w:t>componentes</w:t>
                                  </w:r>
                                  <w:r>
                                    <w:rPr>
                                      <w:rFonts w:cs="Arial" w:ascii="Arial" w:hAnsi="Arial"/>
                                      <w:sz w:val="21"/>
                                      <w:szCs w:val="21"/>
                                    </w:rPr>
                                    <w:t>/autorização de aceitação de materiais para produtos fabricados e distribuídos pela Appliances Company of Panasonic Corporation (doravante denominada "AP").</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No entanto, na compra de produtos acabados e montagem</w:t>
                                  </w:r>
                                  <w:r>
                                    <w:rPr>
                                      <w:rFonts w:cs="Arial" w:ascii="Arial" w:hAnsi="Arial"/>
                                      <w:color w:val="00B0F0"/>
                                      <w:sz w:val="21"/>
                                      <w:szCs w:val="21"/>
                                    </w:rPr>
                                    <w:t>componentes</w:t>
                                  </w:r>
                                  <w:r>
                                    <w:rPr>
                                      <w:rFonts w:cs="Arial" w:ascii="Arial" w:hAnsi="Arial"/>
                                      <w:sz w:val="21"/>
                                      <w:szCs w:val="21"/>
                                    </w:rPr>
                                    <w:t>, etc. de outra empresa e quando for possível obter aprovação para novos</w:t>
                                  </w:r>
                                  <w:r>
                                    <w:rPr>
                                      <w:rFonts w:cs="Arial" w:ascii="Arial" w:hAnsi="Arial"/>
                                      <w:color w:val="00B0F0"/>
                                      <w:sz w:val="21"/>
                                      <w:szCs w:val="21"/>
                                    </w:rPr>
                                    <w:t>componentes</w:t>
                                  </w:r>
                                  <w:r>
                                    <w:rPr>
                                      <w:rFonts w:cs="Arial" w:ascii="Arial" w:hAnsi="Arial"/>
                                      <w:sz w:val="21"/>
                                      <w:szCs w:val="21"/>
                                    </w:rPr>
                                    <w:t xml:space="preserve">/materiais como parte do processo de aprovação de aceitação para produtos acabados e montagem</w:t>
                                  </w:r>
                                  <w:r>
                                    <w:rPr>
                                      <w:rFonts w:cs="Arial" w:ascii="Arial" w:hAnsi="Arial"/>
                                      <w:color w:val="00B0F0"/>
                                      <w:sz w:val="21"/>
                                      <w:szCs w:val="21"/>
                                    </w:rPr>
                                    <w:t>componentes</w:t>
                                  </w:r>
                                  <w:r>
                                    <w:rPr>
                                      <w:rFonts w:cs="Arial" w:ascii="Arial" w:hAnsi="Arial"/>
                                      <w:sz w:val="21"/>
                                      <w:szCs w:val="21"/>
                                    </w:rPr>
                                    <w:t>, etc., autorização de aceitação de novos</w:t>
                                  </w:r>
                                  <w:r>
                                    <w:rPr>
                                      <w:rFonts w:cs="Arial" w:ascii="Arial" w:hAnsi="Arial"/>
                                      <w:color w:val="00B0F0"/>
                                      <w:sz w:val="21"/>
                                      <w:szCs w:val="21"/>
                                    </w:rPr>
                                    <w:t>componentes</w:t>
                                  </w:r>
                                  <w:r>
                                    <w:rPr>
                                      <w:rFonts w:cs="Arial" w:ascii="Arial" w:hAnsi="Arial"/>
                                      <w:sz w:val="21"/>
                                      <w:szCs w:val="21"/>
                                    </w:rPr>
                                    <w:t>/materiais podem ser omitidos.</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 xml:space="preserve">Estas Normas devem ser estabelecidas, revisadas e</w:t>
                                  </w:r>
                                  <w:r>
                                    <w:rPr>
                                      <w:rFonts w:cs="Arial" w:ascii="Arial" w:hAnsi="Arial"/>
                                      <w:color w:val="00B0F0"/>
                                      <w:sz w:val="21"/>
                                      <w:szCs w:val="21"/>
                                    </w:rPr>
                                    <w:t>revogado</w:t>
                                  </w:r>
                                  <w:r>
                                    <w:rPr>
                                      <w:rFonts w:cs="Arial" w:ascii="Arial" w:hAnsi="Arial"/>
                                      <w:sz w:val="21"/>
                                      <w:szCs w:val="21"/>
                                    </w:rPr>
                                    <w:t xml:space="preserve">pelo Chief Technical Officer (CTO) da AP e</w:t>
                                  </w:r>
                                  <w:r>
                                    <w:rPr>
                                      <w:rFonts w:cs="Arial" w:ascii="Arial" w:hAnsi="Arial"/>
                                      <w:color w:val="00B0F0"/>
                                      <w:sz w:val="21"/>
                                      <w:szCs w:val="21"/>
                                    </w:rPr>
                                    <w:t>publicado</w:t>
                                  </w:r>
                                  <w:r>
                                    <w:rPr>
                                      <w:rFonts w:cs="Arial" w:ascii="Arial" w:hAnsi="Arial"/>
                                      <w:sz w:val="21"/>
                                      <w:szCs w:val="21"/>
                                    </w:rPr>
                                    <w:t xml:space="preserve">por</w:t>
                                  </w:r>
                                  <w:r>
                                    <w:rPr>
                                      <w:rFonts w:cs="Arial" w:ascii="Arial" w:hAnsi="Arial"/>
                                      <w:color w:val="00B0F0"/>
                                      <w:sz w:val="21"/>
                                      <w:szCs w:val="21"/>
                                    </w:rPr>
                                    <w:t>a</w:t>
                                  </w:r>
                                  <w:r>
                                    <w:rPr>
                                      <w:rFonts w:cs="Arial" w:ascii="Arial" w:hAnsi="Arial"/>
                                      <w:sz w:val="21"/>
                                      <w:szCs w:val="21"/>
                                    </w:rPr>
                                    <w:t xml:space="preserve">Diretor de Engenharia Corporativa</w:t>
                                  </w:r>
                                  <w:r>
                                    <w:rPr>
                                      <w:rFonts w:cs="Arial" w:ascii="Arial" w:hAnsi="Arial"/>
                                      <w:color w:val="00B0F0"/>
                                      <w:sz w:val="21"/>
                                      <w:szCs w:val="21"/>
                                    </w:rPr>
                                    <w:t xml:space="preserve">Divisão</w:t>
                                  </w:r>
                                  <w:r>
                                    <w:rPr>
                                      <w:rFonts w:cs="Arial" w:ascii="Arial" w:hAnsi="Arial"/>
                                      <w:sz w:val="21"/>
                                      <w:szCs w:val="21"/>
                                    </w:rPr>
                                    <w:t xml:space="preserve">P&amp;D</w:t>
                                  </w:r>
                                  <w:r>
                                    <w:rPr>
                                      <w:rFonts w:cs="Arial" w:ascii="Arial" w:hAnsi="Arial"/>
                                      <w:color w:val="FF0000"/>
                                      <w:sz w:val="21"/>
                                      <w:szCs w:val="21"/>
                                    </w:rPr>
                                    <w:t>Planejamento</w:t>
                                  </w:r>
                                  <w:r>
                                    <w:rPr>
                                      <w:rFonts w:cs="Arial" w:ascii="Arial" w:hAnsi="Arial"/>
                                      <w:sz w:val="21"/>
                                      <w:szCs w:val="21"/>
                                    </w:rPr>
                                    <w:t xml:space="preserve">Centro.</w:t>
                                  </w:r>
                                </w:p>
                                <w:p>
                                  <w:pPr>
                                    <w:pStyle w:val="Normal"/>
                                    <w:snapToGrid w:val="false"/>
                                    <w:spacing w:lineRule="auto" w:line="264"/>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"Novo</w:t>
                                  </w:r>
                                  <w:r>
                                    <w:rPr>
                                      <w:rFonts w:cs="Arial" w:ascii="Arial" w:hAnsi="Arial"/>
                                      <w:color w:val="00B0F0"/>
                                      <w:sz w:val="21"/>
                                      <w:szCs w:val="21"/>
                                    </w:rPr>
                                    <w:t>componentes</w:t>
                                  </w:r>
                                  <w:r>
                                    <w:rPr>
                                      <w:rFonts w:cs="Arial" w:ascii="Arial" w:hAnsi="Arial"/>
                                      <w:sz w:val="21"/>
                                      <w:szCs w:val="21"/>
                                    </w:rPr>
                                    <w:t>/materiais” deve se referir ao seguinte</w:t>
                                  </w:r>
                                  <w:r>
                                    <w:rPr>
                                      <w:rFonts w:cs="Arial" w:ascii="Arial" w:hAnsi="Arial"/>
                                      <w:color w:val="00B0F0"/>
                                      <w:sz w:val="21"/>
                                      <w:szCs w:val="21"/>
                                    </w:rPr>
                                    <w:t>componentes</w:t>
                                  </w:r>
                                  <w:r>
                                    <w:rPr>
                                      <w:rFonts w:cs="Arial" w:ascii="Arial" w:hAnsi="Arial"/>
                                      <w:sz w:val="21"/>
                                      <w:szCs w:val="21"/>
                                    </w:rPr>
                                    <w:t xml:space="preserve">e materiais que são recentemente aceitos.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Segurança crítica</w:t>
                                  </w:r>
                                  <w:r>
                                    <w:rPr>
                                      <w:rFonts w:cs="Arial" w:ascii="Arial" w:hAnsi="Arial"/>
                                      <w:color w:val="00B0F0"/>
                                      <w:sz w:val="21"/>
                                      <w:szCs w:val="21"/>
                                    </w:rPr>
                                    <w:t>componentes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Funcional crítico</w:t>
                                  </w:r>
                                  <w:r>
                                    <w:rPr>
                                      <w:rFonts w:cs="Arial" w:ascii="Arial" w:hAnsi="Arial"/>
                                      <w:color w:val="00B0F0"/>
                                      <w:sz w:val="21"/>
                                      <w:szCs w:val="21"/>
                                    </w:rPr>
                                    <w:t>componentes</w:t>
                                  </w:r>
                                  <w:r>
                                    <w:rPr>
                                      <w:rFonts w:cs="Arial" w:ascii="Arial" w:hAnsi="Arial"/>
                                      <w:sz w:val="21"/>
                                      <w:szCs w:val="21"/>
                                    </w:rPr>
                                    <w:t>/materiais (quando uma divisão designa “funcional crítico</w:t>
                                  </w:r>
                                  <w:r>
                                    <w:rPr>
                                      <w:rFonts w:cs="Arial" w:ascii="Arial" w:hAnsi="Arial"/>
                                      <w:color w:val="00B0F0"/>
                                      <w:sz w:val="21"/>
                                      <w:szCs w:val="21"/>
                                    </w:rPr>
                                    <w:t>componentes</w:t>
                                  </w:r>
                                  <w:r>
                                    <w:rPr>
                                      <w:rFonts w:cs="Arial" w:ascii="Arial" w:hAnsi="Arial"/>
                                      <w:sz w:val="21"/>
                                      <w:szCs w:val="21"/>
                                    </w:rPr>
                                    <w:t>/materiais”)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e mecanismos que têm uma nova função</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/materiais para os quais não há registros de rastreamento, ou</w:t>
                                  </w:r>
                                  <w:r>
                                    <w:rPr>
                                      <w:rFonts w:cs="Arial" w:ascii="Arial" w:hAnsi="Arial"/>
                                      <w:color w:val="00B0F0"/>
                                      <w:sz w:val="21"/>
                                      <w:szCs w:val="21"/>
                                    </w:rPr>
                                    <w:t>componentes</w:t>
                                  </w:r>
                                  <w:r>
                                    <w:rPr>
                                      <w:rFonts w:cs="Arial" w:ascii="Arial" w:hAnsi="Arial"/>
                                      <w:sz w:val="21"/>
                                      <w:szCs w:val="21"/>
                                    </w:rPr>
                                    <w:t>/materiais de um novo fornecedor (incluindo commodities)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para os quais o fornecedor, qualidade do material, aplicação, estrutura ou propriedade foi alterado (resina, chapa de aço, tinta, adesivos, refrigerantes, etc.; diferença de grau é considerada um novo material)</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cuja aceitação precisa ser autorizada individualmente por conterem um elemento de alta tecnologia</w:t>
                                  </w:r>
                                </w:p>
                                <w:p>
                                  <w:pPr>
                                    <w:pStyle w:val="Normal"/>
                                    <w:numPr>
                                      <w:ilvl w:val="0"/>
                                      <w:numId w:val="3"/>
                                    </w:numPr>
                                    <w:snapToGrid w:val="false"/>
                                    <w:spacing w:lineRule="atLeast" w:line="20"/>
                                    <w:jc w:val="start"/>
                                    <w:rPr/>
                                  </w:pPr>
                                  <w:r>
                                    <w:rPr>
                                      <w:rFonts w:cs="Arial" w:ascii="Arial" w:hAnsi="Arial"/>
                                      <w:sz w:val="21"/>
                                      <w:szCs w:val="21"/>
                                    </w:rPr>
                                    <w:t xml:space="preserve">Outro</w:t>
                                  </w:r>
                                  <w:r>
                                    <w:rPr>
                                      <w:rFonts w:cs="Arial" w:ascii="Arial" w:hAnsi="Arial"/>
                                      <w:color w:val="00B0F0"/>
                                      <w:sz w:val="21"/>
                                      <w:szCs w:val="21"/>
                                    </w:rPr>
                                    <w:t>componentes</w:t>
                                  </w:r>
                                  <w:r>
                                    <w:rPr>
                                      <w:rFonts w:cs="Arial" w:ascii="Arial" w:hAnsi="Arial"/>
                                      <w:sz w:val="21"/>
                                      <w:szCs w:val="21"/>
                                    </w:rPr>
                                    <w:t xml:space="preserve">e materiais que requerem autorização de novos</w:t>
                                  </w:r>
                                  <w:r>
                                    <w:rPr>
                                      <w:rFonts w:cs="Arial" w:ascii="Arial" w:hAnsi="Arial"/>
                                      <w:color w:val="00B0F0"/>
                                      <w:sz w:val="21"/>
                                      <w:szCs w:val="21"/>
                                    </w:rPr>
                                    <w:t>componentes</w:t>
                                  </w:r>
                                  <w:r>
                                    <w:rPr>
                                      <w:rFonts w:cs="Arial" w:ascii="Arial" w:hAnsi="Arial"/>
                                      <w:sz w:val="21"/>
                                      <w:szCs w:val="21"/>
                                    </w:rPr>
                                    <w:t>/materiais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Para novos</w:t>
                                  </w:r>
                                  <w:r>
                                    <w:rPr>
                                      <w:rFonts w:cs="Arial" w:ascii="Arial" w:hAnsi="Arial"/>
                                      <w:color w:val="00B0F0"/>
                                      <w:sz w:val="21"/>
                                      <w:szCs w:val="21"/>
                                    </w:rPr>
                                    <w:t>componentes</w:t>
                                  </w:r>
                                  <w:r>
                                    <w:rPr>
                                      <w:rFonts w:cs="Arial" w:ascii="Arial" w:hAnsi="Arial"/>
                                      <w:sz w:val="21"/>
                                      <w:szCs w:val="21"/>
                                    </w:rPr>
                                    <w:t>/materiais, cada divisão deve especificar a definição detalhada, classificação de classificação e conteúdo de avaliação e fluxo de aprovação de acordo com a classificação de classificação,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t>Para a divisão de funções de divisões no exterior e divisões controladoras, os “Padrões de Operação de Negócios no Exterior” (APQ-BG-007) devem ser seguidos.</w:t>
                                  </w:r>
                                </w:p>
                                <w:p>
                                  <w:pPr>
                                    <w:pStyle w:val="Normal"/>
                                    <w:snapToGrid w:val="false"/>
                                    <w:spacing w:lineRule="atLeast" w:line="20"/>
                                    <w:jc w:val="start"/>
                                    <w:rPr>
                                      <w:rFonts w:ascii="Arial" w:hAnsi="Arial" w:cs="Arial"/>
                                      <w:sz w:val="21"/>
                                      <w:szCs w:val="21"/>
                                    </w:rPr>
                                  </w:pPr>
                                  <w:r>
                                    <w:rPr>
                                      <w:rFonts w:cs="Arial" w:ascii="Arial" w:hAnsi="Arial"/>
                                      <w:sz w:val="21"/>
                                      <w:szCs w:val="21"/>
                                    </w:rPr>
                                    <w:t>A definição de segurança crítica</w:t>
                                  </w:r>
                                  <w:r>
                                    <w:rPr>
                                      <w:rFonts w:cs="Arial" w:ascii="Arial" w:hAnsi="Arial"/>
                                      <w:color w:val="00B0F0"/>
                                      <w:sz w:val="21"/>
                                      <w:szCs w:val="21"/>
                                    </w:rPr>
                                    <w:t>componentes</w:t>
                                  </w:r>
                                  <w:r>
                                    <w:rPr>
                                      <w:rFonts w:cs="Arial" w:ascii="Arial" w:hAnsi="Arial"/>
                                      <w:color w:val="FF0000"/>
                                      <w:sz w:val="21"/>
                                      <w:szCs w:val="21"/>
                                    </w:rPr>
                                    <w:t xml:space="preserve">(incluindo marcações de segurança do produto)</w:t>
                                  </w:r>
                                  <w:r>
                                    <w:rPr>
                                      <w:rFonts w:cs="Arial" w:ascii="Arial" w:hAnsi="Arial"/>
                                      <w:sz w:val="21"/>
                                      <w:szCs w:val="21"/>
                                    </w:rPr>
                                    <w:t xml:space="preserve">será o previsto nas “Normas de Gerenciamento de Segurança do Produto” (APQ-BG-006).</w:t>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Se o</w:t>
                                  </w:r>
                                  <w:r>
                                    <w:rPr>
                                      <w:rFonts w:cs="Arial" w:ascii="Arial" w:hAnsi="Arial"/>
                                      <w:color w:val="00B0F0"/>
                                      <w:sz w:val="21"/>
                                      <w:szCs w:val="21"/>
                                    </w:rPr>
                                    <w:t>componentes</w:t>
                                  </w:r>
                                  <w:r>
                                    <w:rPr>
                                      <w:rFonts w:cs="Arial" w:ascii="Arial" w:hAnsi="Arial"/>
                                      <w:sz w:val="21"/>
                                      <w:szCs w:val="21"/>
                                    </w:rPr>
                                    <w:t>/materiais a serem aceitos são novos</w:t>
                                  </w:r>
                                  <w:r>
                                    <w:rPr>
                                      <w:rFonts w:cs="Arial" w:ascii="Arial" w:hAnsi="Arial"/>
                                      <w:color w:val="00B0F0"/>
                                      <w:sz w:val="21"/>
                                      <w:szCs w:val="21"/>
                                    </w:rPr>
                                    <w:t>componentes</w:t>
                                  </w:r>
                                  <w:r>
                                    <w:rPr>
                                      <w:rFonts w:cs="Arial" w:ascii="Arial" w:hAnsi="Arial"/>
                                      <w:sz w:val="21"/>
                                      <w:szCs w:val="21"/>
                                    </w:rPr>
                                    <w:t>/materiais, o departamento de design/desenvolvimento deverá registrar o mesmo no novo</w:t>
                                  </w:r>
                                  <w:r>
                                    <w:rPr>
                                      <w:rFonts w:cs="Arial" w:ascii="Arial" w:hAnsi="Arial"/>
                                      <w:color w:val="00B0F0"/>
                                      <w:sz w:val="21"/>
                                      <w:szCs w:val="21"/>
                                    </w:rPr>
                                    <w:t>componentes</w:t>
                                  </w:r>
                                  <w:r>
                                    <w:rPr>
                                      <w:rFonts w:cs="Arial" w:ascii="Arial" w:hAnsi="Arial"/>
                                      <w:sz w:val="21"/>
                                      <w:szCs w:val="21"/>
                                    </w:rPr>
                                    <w:t>/lista de registro de materiais, iniciar o desenvolvimento e obter aprovação do chefe do departamento de design/desenvolvimento após confirmação com o chefe do departamento de qualidade.</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Em princípio, o registro no novo</w:t>
                                  </w:r>
                                  <w:r>
                                    <w:rPr>
                                      <w:rFonts w:cs="Arial" w:ascii="Arial" w:hAnsi="Arial"/>
                                      <w:color w:val="00B0F0"/>
                                      <w:sz w:val="21"/>
                                      <w:szCs w:val="21"/>
                                    </w:rPr>
                                    <w:t>componentes</w:t>
                                  </w:r>
                                  <w:r>
                                    <w:rPr>
                                      <w:rFonts w:cs="Arial" w:ascii="Arial" w:hAnsi="Arial"/>
                                      <w:sz w:val="21"/>
                                      <w:szCs w:val="21"/>
                                    </w:rPr>
                                    <w:t>/lista de registro de materiais deve ser completada antes que seja tomada uma decisão para comercialização.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Informações sobre o novo</w:t>
                                  </w:r>
                                  <w:r>
                                    <w:rPr>
                                      <w:rFonts w:cs="Arial" w:ascii="Arial" w:hAnsi="Arial"/>
                                      <w:color w:val="00B0F0"/>
                                      <w:sz w:val="21"/>
                                      <w:szCs w:val="21"/>
                                    </w:rPr>
                                    <w:t>componentes</w:t>
                                  </w:r>
                                  <w:r>
                                    <w:rPr>
                                      <w:rFonts w:cs="Arial" w:ascii="Arial" w:hAnsi="Arial"/>
                                      <w:sz w:val="21"/>
                                      <w:szCs w:val="21"/>
                                    </w:rPr>
                                    <w:t xml:space="preserve">/materiais cujo uso foi solicitado e aprovado devem ser compartilhados com os departamentos relevantes para evitar quaisquer obstáculos na aquisição, produção, inspeção de entrada e outros processos durante o processo de aceitação.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design/desenvolvimento deve avaliar novos</w:t>
                                  </w:r>
                                  <w:r>
                                    <w:rPr>
                                      <w:rFonts w:cs="Arial" w:ascii="Arial" w:hAnsi="Arial"/>
                                      <w:color w:val="00B0F0"/>
                                      <w:sz w:val="21"/>
                                      <w:szCs w:val="21"/>
                                    </w:rPr>
                                    <w:t>componentes</w:t>
                                  </w:r>
                                  <w:r>
                                    <w:rPr>
                                      <w:rFonts w:cs="Arial" w:ascii="Arial" w:hAnsi="Arial"/>
                                      <w:sz w:val="21"/>
                                      <w:szCs w:val="21"/>
                                    </w:rPr>
                                    <w:t>/materiais registrados no novo</w:t>
                                  </w:r>
                                  <w:r>
                                    <w:rPr>
                                      <w:rFonts w:cs="Arial" w:ascii="Arial" w:hAnsi="Arial"/>
                                      <w:color w:val="00B0F0"/>
                                      <w:sz w:val="21"/>
                                      <w:szCs w:val="21"/>
                                    </w:rPr>
                                    <w:t>componentes</w:t>
                                  </w:r>
                                  <w:r>
                                    <w:rPr>
                                      <w:rFonts w:cs="Arial" w:ascii="Arial" w:hAnsi="Arial"/>
                                      <w:sz w:val="21"/>
                                      <w:szCs w:val="21"/>
                                    </w:rPr>
                                    <w:t>/lista de registro de materiais após revisão do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projeto/desenvolvimento deve confirmar os padrões técnicos públicos, padrões técnicos internos e outros padrões para novos</w:t>
                                  </w:r>
                                  <w:r>
                                    <w:rPr>
                                      <w:rFonts w:cs="Arial" w:ascii="Arial" w:hAnsi="Arial"/>
                                      <w:color w:val="00B0F0"/>
                                      <w:sz w:val="21"/>
                                      <w:szCs w:val="21"/>
                                    </w:rPr>
                                    <w:t>componentes</w:t>
                                  </w:r>
                                  <w:r>
                                    <w:rPr>
                                      <w:rFonts w:cs="Arial" w:ascii="Arial" w:hAnsi="Arial"/>
                                      <w:sz w:val="21"/>
                                      <w:szCs w:val="21"/>
                                    </w:rPr>
                                    <w:t>/materiais, revise os itens de avaliação e conteúdos imediatamente após o desenvolvimento para novos</w:t>
                                  </w:r>
                                  <w:r>
                                    <w:rPr>
                                      <w:rFonts w:cs="Arial" w:ascii="Arial" w:hAnsi="Arial"/>
                                      <w:color w:val="00B0F0"/>
                                      <w:sz w:val="21"/>
                                      <w:szCs w:val="21"/>
                                    </w:rPr>
                                    <w:t>componentes</w:t>
                                  </w:r>
                                  <w:r>
                                    <w:rPr>
                                      <w:rFonts w:cs="Arial" w:ascii="Arial" w:hAnsi="Arial"/>
                                      <w:sz w:val="21"/>
                                      <w:szCs w:val="21"/>
                                    </w:rPr>
                                    <w:t xml:space="preserve">/materiais é iniciado e informa os departamentos relacionados após consulta ao departamento de qualidade sobre 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Além disso, os itens e conteúdos de avaliação devem ser extraídos sem omissão, utilizando métodos científicos, como FMEA e FTA, conhecimento de prevenção em toda a empresa e informações QUICS.</w:t>
                                  </w:r>
                                </w:p>
                                <w:p>
                                  <w:pPr>
                                    <w:pStyle w:val="Normal"/>
                                    <w:snapToGrid w:val="false"/>
                                    <w:spacing w:lineRule="atLeast" w:line="20"/>
                                    <w:ind w:start="360" w:hanging="314"/>
                                    <w:jc w:val="start"/>
                                    <w:rPr>
                                      <w:rFonts w:ascii="Arial" w:hAnsi="Arial" w:cs="Arial"/>
                                      <w:sz w:val="21"/>
                                      <w:szCs w:val="21"/>
                                    </w:rPr>
                                  </w:pPr>
                                  <w:r>
                                    <w:rPr>
                                      <w:rFonts w:cs="Arial" w:ascii="Arial" w:hAnsi="Arial"/>
                                      <w:sz w:val="21"/>
                                      <w:szCs w:val="21"/>
                                    </w:rPr>
                                    <w:t>Os seguintes itens devem ser incluídos no plano de avaliação: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Agendar até a aceitação (incluindo plano de teste)</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de avaliação e conteúdo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Necessidade de autenticação e programação do processo de fabricação</w:t>
                                  </w:r>
                                </w:p>
                                <w:p>
                                  <w:pPr>
                                    <w:pStyle w:val="Normal"/>
                                    <w:snapToGrid w:val="false"/>
                                    <w:spacing w:lineRule="atLeast" w:line="20"/>
                                    <w:ind w:start="430" w:hanging="0"/>
                                    <w:jc w:val="start"/>
                                    <w:rPr>
                                      <w:rFonts w:ascii="Arial" w:hAnsi="Arial" w:cs="Arial"/>
                                      <w:sz w:val="21"/>
                                      <w:szCs w:val="21"/>
                                    </w:rPr>
                                  </w:pPr>
                                  <w:r>
                                    <w:rPr>
                                      <w:rFonts w:cs="Arial" w:ascii="Arial" w:hAnsi="Arial"/>
                                      <w:sz w:val="21"/>
                                      <w:szCs w:val="21"/>
                                    </w:rPr>
                                    <w:t>(Em princípio, a autenticação do processo deve ser implementada para segurança crítica</w:t>
                                  </w:r>
                                  <w:r>
                                    <w:rPr>
                                      <w:rFonts w:cs="Arial" w:ascii="Arial" w:hAnsi="Arial"/>
                                      <w:color w:val="00B0F0"/>
                                      <w:sz w:val="21"/>
                                      <w:szCs w:val="21"/>
                                    </w:rPr>
                                    <w:t>componentes</w:t>
                                  </w:r>
                                  <w:r>
                                    <w:rPr>
                                      <w:rFonts w:cs="Arial" w:ascii="Arial" w:hAnsi="Arial"/>
                                      <w:sz w:val="21"/>
                                      <w:szCs w:val="21"/>
                                    </w:rPr>
                                    <w:t xml:space="preserve">.</w:t>
                                  </w:r>
                                  <w:r>
                                    <w:rPr>
                                      <w:rFonts w:cs="Arial" w:ascii="Arial" w:hAnsi="Arial"/>
                                      <w:color w:val="FF0000"/>
                                      <w:sz w:val="21"/>
                                      <w:szCs w:val="21"/>
                                    </w:rPr>
                                    <w:t>No entanto, a autenticação do processo pode não ser necessária para componentes cuja qualidade pode ser assegurada pela inspeção de entrada das marcações de segurança do produto.</w:t>
                                  </w:r>
                                  <w:r>
                                    <w:rPr>
                                      <w:rFonts w:cs="Arial" w:ascii="Arial" w:hAnsi="Arial"/>
                                      <w:sz w:val="21"/>
                                      <w:szCs w:val="21"/>
                                    </w:rPr>
                                    <w:t>)</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Conteúdo escrito da especificação de entrega (</w:t>
                                  </w:r>
                                  <w:r>
                                    <w:rPr>
                                      <w:rFonts w:cs="Arial" w:ascii="Arial" w:hAnsi="Arial"/>
                                      <w:color w:val="00B0F0"/>
                                      <w:sz w:val="21"/>
                                      <w:szCs w:val="21"/>
                                    </w:rPr>
                                    <w:t>componentes</w:t>
                                  </w:r>
                                  <w:r>
                                    <w:rPr>
                                      <w:rFonts w:cs="Arial" w:ascii="Arial" w:hAnsi="Arial"/>
                                      <w:sz w:val="21"/>
                                      <w:szCs w:val="21"/>
                                    </w:rPr>
                                    <w:t xml:space="preserve">/especificações do material)</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relacionados ao gerenciamento de substâncias químicas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Com relação aos casos em que os testes devem ser implementados, um plano deve ser feito com os seguintes pontos em mente. Se necessário, uma revisão do projeto de teste, etc. deve ser realizada e um acordo deve ser alcançado com os departamentos relacionados.</w:t>
                                  </w:r>
                                </w:p>
                                <w:p>
                                  <w:pPr>
                                    <w:pStyle w:val="Normal"/>
                                    <w:snapToGrid w:val="false"/>
                                    <w:spacing w:lineRule="atLeast" w:line="20"/>
                                    <w:jc w:val="start"/>
                                    <w:rPr>
                                      <w:rFonts w:ascii="Arial" w:hAnsi="Arial" w:cs="Arial"/>
                                      <w:sz w:val="21"/>
                                      <w:szCs w:val="21"/>
                                    </w:rPr>
                                  </w:pPr>
                                  <w:r>
                                    <w:rPr>
                                      <w:rFonts w:cs="Arial" w:ascii="Arial" w:hAnsi="Arial"/>
                                      <w:sz w:val="21"/>
                                      <w:szCs w:val="21"/>
                                    </w:rPr>
                                    <w:t>(a) Qualidade alvo</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Revise o desempenho, as funções e outros parâmetros necessários para a faixa de ambiente de uso.</w:t>
                                  </w:r>
                                </w:p>
                                <w:p>
                                  <w:pPr>
                                    <w:pStyle w:val="Normal"/>
                                    <w:snapToGrid w:val="false"/>
                                    <w:spacing w:lineRule="atLeast" w:line="20"/>
                                    <w:jc w:val="start"/>
                                    <w:rPr>
                                      <w:rFonts w:ascii="Arial" w:hAnsi="Arial" w:cs="Arial"/>
                                      <w:sz w:val="21"/>
                                      <w:szCs w:val="21"/>
                                    </w:rPr>
                                  </w:pPr>
                                  <w:r>
                                    <w:rPr>
                                      <w:rFonts w:cs="Arial" w:ascii="Arial" w:hAnsi="Arial"/>
                                      <w:sz w:val="21"/>
                                      <w:szCs w:val="21"/>
                                    </w:rPr>
                                    <w:t>(b) Cronograma de teste, número de unidades, condições e método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Determine o conteúdo do teste considerando as variações de</w:t>
                                  </w:r>
                                  <w:r>
                                    <w:rPr>
                                      <w:rFonts w:cs="Arial" w:ascii="Arial" w:hAnsi="Arial"/>
                                      <w:color w:val="00B0F0"/>
                                      <w:sz w:val="21"/>
                                      <w:szCs w:val="21"/>
                                    </w:rPr>
                                    <w:t>componentes</w:t>
                                  </w:r>
                                  <w:r>
                                    <w:rPr>
                                      <w:rFonts w:cs="Arial" w:ascii="Arial" w:hAnsi="Arial"/>
                                      <w:sz w:val="21"/>
                                      <w:szCs w:val="21"/>
                                    </w:rPr>
                                    <w:t>/materiais.</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Conduzir avaliação de aceleração e avaliação de durabilidade, considerando a vida útil do produto de projeto (incluindo período de verificação de segurança para segurança crítica</w:t>
                                  </w:r>
                                  <w:r>
                                    <w:rPr>
                                      <w:rFonts w:cs="Arial" w:ascii="Arial" w:hAnsi="Arial"/>
                                      <w:color w:val="00B0F0"/>
                                      <w:sz w:val="21"/>
                                      <w:szCs w:val="21"/>
                                    </w:rPr>
                                    <w:t>componentes</w:t>
                                  </w:r>
                                  <w:r>
                                    <w:rPr>
                                      <w:rFonts w:cs="Arial" w:ascii="Arial" w:hAnsi="Arial"/>
                                      <w:sz w:val="21"/>
                                      <w:szCs w:val="21"/>
                                    </w:rPr>
                                    <w:t>).</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Ao realizar testes de vida, os testes devem ser continuados até que ocorra a destruição, em princípio.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Realize testes usando amostras compostas por</w:t>
                                  </w:r>
                                  <w:r>
                                    <w:rPr>
                                      <w:rFonts w:cs="Arial" w:ascii="Arial" w:hAnsi="Arial"/>
                                      <w:color w:val="00B0F0"/>
                                      <w:sz w:val="21"/>
                                      <w:szCs w:val="21"/>
                                    </w:rPr>
                                    <w:t>componentes</w:t>
                                  </w:r>
                                  <w:r>
                                    <w:rPr>
                                      <w:rFonts w:cs="Arial" w:ascii="Arial" w:hAnsi="Arial"/>
                                      <w:sz w:val="21"/>
                                      <w:szCs w:val="21"/>
                                    </w:rPr>
                                    <w:t>/materiais equivalentes aos fabricados no processo de produção em massa.</w:t>
                                  </w:r>
                                </w:p>
                                <w:p>
                                  <w:pPr>
                                    <w:pStyle w:val="Normal"/>
                                    <w:snapToGrid w:val="false"/>
                                    <w:spacing w:lineRule="atLeast" w:line="20"/>
                                    <w:ind w:start="376" w:hanging="330"/>
                                    <w:jc w:val="start"/>
                                    <w:rPr>
                                      <w:rFonts w:ascii="Arial" w:hAnsi="Arial" w:cs="Arial"/>
                                      <w:sz w:val="21"/>
                                      <w:szCs w:val="21"/>
                                    </w:rPr>
                                  </w:pPr>
                                  <w:r>
                                    <w:rPr>
                                      <w:rFonts w:cs="Arial" w:ascii="Arial" w:hAnsi="Arial"/>
                                      <w:sz w:val="21"/>
                                      <w:szCs w:val="21"/>
                                    </w:rPr>
                                    <w:t>(c) Departamento responsável pelos testes (incluindo revisão de um dos seguintes: a divisão, fábrica no exterior ou parceiros terceirizados)</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(d) Coleta de opiniões (conhecimento) de especialistas externos, etc.</w:t>
                                  </w:r>
                                </w:p>
                                <w:p>
                                  <w:pPr>
                                    <w:pStyle w:val="Normal"/>
                                    <w:snapToGrid w:val="false"/>
                                    <w:spacing w:lineRule="atLeast" w:line="20"/>
                                    <w:ind w:start="376" w:hanging="110"/>
                                    <w:jc w:val="start"/>
                                    <w:rPr>
                                      <w:rFonts w:ascii="Arial" w:hAnsi="Arial" w:cs="Arial"/>
                                      <w:sz w:val="21"/>
                                      <w:szCs w:val="21"/>
                                    </w:rPr>
                                  </w:pPr>
                                  <w:r>
                                    <w:rPr>
                                      <w:rFonts w:eastAsia="Arial" w:cs="Arial" w:ascii="Arial" w:hAnsi="Arial"/>
                                      <w:sz w:val="21"/>
                                      <w:szCs w:val="21"/>
                                    </w:rPr>
                                    <w:t xml:space="preserve"> </w:t>
                                  </w:r>
                                  <w:r>
                                    <w:rPr>
                                      <w:rFonts w:cs="Arial" w:ascii="Arial" w:hAnsi="Arial"/>
                                      <w:sz w:val="21"/>
                                      <w:szCs w:val="21"/>
                                    </w:rPr>
                                    <w:t>Para materiais, segurança crítica</w:t>
                                  </w:r>
                                  <w:r>
                                    <w:rPr>
                                      <w:rFonts w:cs="Arial" w:ascii="Arial" w:hAnsi="Arial"/>
                                      <w:color w:val="00B0F0"/>
                                      <w:sz w:val="21"/>
                                      <w:szCs w:val="21"/>
                                    </w:rPr>
                                    <w:t>componentes</w:t>
                                  </w:r>
                                  <w:r>
                                    <w:rPr>
                                      <w:rFonts w:cs="Arial" w:ascii="Arial" w:hAnsi="Arial"/>
                                      <w:sz w:val="21"/>
                                      <w:szCs w:val="21"/>
                                    </w:rPr>
                                    <w:t xml:space="preserve">, e funções críticas</w:t>
                                  </w:r>
                                  <w:r>
                                    <w:rPr>
                                      <w:rFonts w:cs="Arial" w:ascii="Arial" w:hAnsi="Arial"/>
                                      <w:color w:val="00B0F0"/>
                                      <w:sz w:val="21"/>
                                      <w:szCs w:val="21"/>
                                    </w:rPr>
                                    <w:t>componentes</w:t>
                                  </w:r>
                                  <w:r>
                                    <w:rPr>
                                      <w:rFonts w:cs="Arial" w:ascii="Arial" w:hAnsi="Arial"/>
                                      <w:sz w:val="21"/>
                                      <w:szCs w:val="21"/>
                                    </w:rPr>
                                    <w:t>, as opiniões de outros especialistas que não os da divisão devem ser consultadas conforme necessário.</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(e) Necessidade de guarda da amostra</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Quando necessário, armazene itens críticos de segurança</w:t>
                                  </w:r>
                                  <w:r>
                                    <w:rPr>
                                      <w:rFonts w:cs="Arial" w:ascii="Arial" w:hAnsi="Arial"/>
                                      <w:color w:val="00B0F0"/>
                                      <w:sz w:val="21"/>
                                      <w:szCs w:val="21"/>
                                    </w:rPr>
                                    <w:t>componentes</w:t>
                                  </w:r>
                                  <w:r>
                                    <w:rPr>
                                      <w:rFonts w:cs="Arial" w:ascii="Arial" w:hAnsi="Arial"/>
                                      <w:sz w:val="21"/>
                                      <w:szCs w:val="21"/>
                                    </w:rPr>
                                    <w:t xml:space="preserve">pelo mesmo período de armazenamento que o dos registros.</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Para segurança crítica</w:t>
                                  </w:r>
                                  <w:r>
                                    <w:rPr>
                                      <w:rFonts w:cs="Arial" w:ascii="Arial" w:hAnsi="Arial"/>
                                      <w:color w:val="00B0F0"/>
                                      <w:sz w:val="21"/>
                                      <w:szCs w:val="21"/>
                                    </w:rPr>
                                    <w:t>componentes</w:t>
                                  </w:r>
                                  <w:r>
                                    <w:rPr>
                                      <w:rFonts w:cs="Arial" w:ascii="Arial" w:hAnsi="Arial"/>
                                      <w:sz w:val="21"/>
                                      <w:szCs w:val="21"/>
                                    </w:rPr>
                                    <w:t>, resuma os itens de avaliação de revisão relacionados à segurança assumindo o tempo de fim de vida.</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Cada departamento responsável pelos testes deve realizar testes e resumir seus resultados.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e o departamento de qualidade devem avaliar os resultados dos testes e revisar a necessidade de reavaliação e itens de confirmação adicionais. Além disso, a necessidade de aprimoramento de novos</w:t>
                                  </w:r>
                                  <w:r>
                                    <w:rPr>
                                      <w:rFonts w:cs="Arial" w:ascii="Arial" w:hAnsi="Arial"/>
                                      <w:color w:val="00B0F0"/>
                                      <w:sz w:val="21"/>
                                      <w:szCs w:val="21"/>
                                    </w:rPr>
                                    <w:t>componentes</w:t>
                                  </w:r>
                                  <w:r>
                                    <w:rPr>
                                      <w:rFonts w:cs="Arial" w:ascii="Arial" w:hAnsi="Arial"/>
                                      <w:sz w:val="21"/>
                                      <w:szCs w:val="21"/>
                                    </w:rPr>
                                    <w:t>/materiais devem ser discutidos e novos testes e mudanças de especificação devem ser conduzidos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qualidade deve discutir com o departamento de design/desenvolvimento, departamento de compras e outros departamentos relacionados, implementar a autenticação do processo com base nos "Padrões de implementação de verificação do local de operação do fornecedor" (APQ-BP-005) e obter aprovação do chefe do Departamento de Qualidade.</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deve resumir os resultados da avaliação de novos</w:t>
                                  </w:r>
                                  <w:r>
                                    <w:rPr>
                                      <w:rFonts w:cs="Arial" w:ascii="Arial" w:hAnsi="Arial"/>
                                      <w:color w:val="00B0F0"/>
                                      <w:sz w:val="21"/>
                                      <w:szCs w:val="21"/>
                                    </w:rPr>
                                    <w:t>componentes</w:t>
                                  </w:r>
                                  <w:r>
                                    <w:rPr>
                                      <w:rFonts w:cs="Arial" w:ascii="Arial" w:hAnsi="Arial"/>
                                      <w:sz w:val="21"/>
                                      <w:szCs w:val="21"/>
                                    </w:rPr>
                                    <w:t>/materiais, consulte o chefe do departamento de qualidade sobre autorização de aceitação e obtenha aprovação para autorização de aceitação do chefe do departamento de design/desenvolvimento.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Autorização de aceitação de novos</w:t>
                                  </w:r>
                                  <w:r>
                                    <w:rPr>
                                      <w:rFonts w:cs="Arial" w:ascii="Arial" w:hAnsi="Arial"/>
                                      <w:color w:val="00B0F0"/>
                                      <w:sz w:val="21"/>
                                      <w:szCs w:val="21"/>
                                    </w:rPr>
                                    <w:t>componentes</w:t>
                                  </w:r>
                                  <w:r>
                                    <w:rPr>
                                      <w:rFonts w:cs="Arial" w:ascii="Arial" w:hAnsi="Arial"/>
                                      <w:sz w:val="21"/>
                                      <w:szCs w:val="21"/>
                                    </w:rPr>
                                    <w:t>/materials deve ocorrer antes de AQ0, em princípio, e por AQ1 no mínimo.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Além disso, ao autorizar a aceitação de novos</w:t>
                                  </w:r>
                                  <w:r>
                                    <w:rPr>
                                      <w:rFonts w:cs="Arial" w:ascii="Arial" w:hAnsi="Arial"/>
                                      <w:color w:val="00B0F0"/>
                                      <w:sz w:val="21"/>
                                      <w:szCs w:val="21"/>
                                    </w:rPr>
                                    <w:t>componentes</w:t>
                                  </w:r>
                                  <w:r>
                                    <w:rPr>
                                      <w:rFonts w:cs="Arial" w:ascii="Arial" w:hAnsi="Arial"/>
                                      <w:sz w:val="21"/>
                                      <w:szCs w:val="21"/>
                                    </w:rPr>
                                    <w:t>/materiais, a confirmação deve ser feita com o Gerente de Regulamento Técnico ou, no caso de segurança crítica</w:t>
                                  </w:r>
                                  <w:r>
                                    <w:rPr>
                                      <w:rFonts w:cs="Arial" w:ascii="Arial" w:hAnsi="Arial"/>
                                      <w:color w:val="00B0F0"/>
                                      <w:sz w:val="21"/>
                                      <w:szCs w:val="21"/>
                                    </w:rPr>
                                    <w:t>componentes</w:t>
                                  </w:r>
                                  <w:r>
                                    <w:rPr>
                                      <w:rFonts w:cs="Arial" w:ascii="Arial" w:hAnsi="Arial"/>
                                      <w:sz w:val="21"/>
                                      <w:szCs w:val="21"/>
                                    </w:rPr>
                                    <w:t xml:space="preserve">, com o Gerente de Segurança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Para novos</w:t>
                                  </w:r>
                                  <w:r>
                                    <w:rPr>
                                      <w:rFonts w:cs="Arial" w:ascii="Arial" w:hAnsi="Arial"/>
                                      <w:color w:val="00B0F0"/>
                                      <w:sz w:val="21"/>
                                      <w:szCs w:val="21"/>
                                    </w:rPr>
                                    <w:t>componentes</w:t>
                                  </w:r>
                                  <w:r>
                                    <w:rPr>
                                      <w:rFonts w:cs="Arial" w:ascii="Arial" w:hAnsi="Arial"/>
                                      <w:sz w:val="21"/>
                                      <w:szCs w:val="21"/>
                                    </w:rPr>
                                    <w:t>/materiais, o departamento de design/desenvolvimento deve trocar as especificações de entrega com o fornecedor através do departamento de compras imediatamente após a aceitação de novos</w:t>
                                  </w:r>
                                  <w:r>
                                    <w:rPr>
                                      <w:rFonts w:cs="Arial" w:ascii="Arial" w:hAnsi="Arial"/>
                                      <w:color w:val="00B0F0"/>
                                      <w:sz w:val="21"/>
                                      <w:szCs w:val="21"/>
                                    </w:rPr>
                                    <w:t>componentes</w:t>
                                  </w:r>
                                  <w:r>
                                    <w:rPr>
                                      <w:rFonts w:cs="Arial" w:ascii="Arial" w:hAnsi="Arial"/>
                                      <w:sz w:val="21"/>
                                      <w:szCs w:val="21"/>
                                    </w:rPr>
                                    <w:t>/materials foi autorizado. O chefe do departamento de design/desenvolvimento deve aprovar as especificações de entrega.</w:t>
                                  </w:r>
                                </w:p>
                                <w:p>
                                  <w:pPr>
                                    <w:pStyle w:val="Normal"/>
                                    <w:snapToGrid w:val="false"/>
                                    <w:spacing w:lineRule="atLeast" w:line="20"/>
                                    <w:jc w:val="start"/>
                                    <w:rPr>
                                      <w:sz w:val="21"/>
                                      <w:szCs w:val="21"/>
                                    </w:rPr>
                                  </w:pPr>
                                  <w:r>
                                    <w:rPr>
                                      <w:rFonts w:cs="Arial" w:ascii="Arial" w:hAnsi="Arial"/>
                                      <w:sz w:val="21"/>
                                      <w:szCs w:val="21"/>
                                    </w:rPr>
                                    <w:t>Além disso, os resultados dos testes do fornecedor, dados de análise de substâncias proibidas, gráficos de controle de processo, etc. devem ser obtidos,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sz w:val="21"/>
                                      <w:szCs w:val="21"/>
                                    </w:rPr>
                                  </w:pPr>
                                  <w:r>
                                    <w:rPr>
                                      <w:rFonts w:cs="Arial" w:ascii="Arial" w:hAnsi="Arial"/>
                                      <w:sz w:val="21"/>
                                      <w:szCs w:val="21"/>
                                    </w:rPr>
                                    <w:t>Os registros relacionados a estes Padrões de Operação devem ser mantidos de acordo com os “Padrões de Controle de Documentos de Qualidade e Registros de Qualidade” (APQ-BG-001).</w:t>
                                  </w:r>
                                </w:p>
                              </w:tc>
                            </w:tr>
                          </w:tbl>
                        </w:txbxContent>
                      </wps:txbx>
                      <wps:bodyPr anchor="t" lIns="0" tIns="0" rIns="0" bIns="0">
                        <a:noAutofit/>
                      </wps:bodyPr>
                    </wps:wsp>
                  </a:graphicData>
                </a:graphic>
              </wp:anchor>
            </w:drawing>
          </mc:Choice>
          <mc:Fallback>
            <w:pict>
              <v:rect fillcolor="#FFFFFF" style="position:absolute;rotation:0;width:491.15pt;height:841.9pt;mso-wrap-distance-left:0pt;mso-wrap-distance-right:7.1pt;mso-wrap-distance-top:0pt;mso-wrap-distance-bottom:0pt;margin-top:0.05pt;mso-position-vertical-relative:text;margin-left:-5.4pt;mso-position-horizontal-relative:text">
                <v:fill opacity="0f"/>
                <v:textbox inset="0in,0in,0in,0in">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bookmarkStart w:id="4" w:name="OLE_LINK4"/>
                            <w:bookmarkStart w:id="5" w:name="OLE_LINK3"/>
                            <w:bookmarkStart w:id="6" w:name="OLE_LINK4"/>
                            <w:bookmarkStart w:id="7" w:name="OLE_LINK3"/>
                            <w:bookmarkEnd w:id="6"/>
                            <w:bookmarkEnd w:id="7"/>
                          </w:p>
                          <w:p>
                            <w:pPr>
                              <w:pStyle w:val="Normal"/>
                              <w:numPr>
                                <w:ilvl w:val="1"/>
                                <w:numId w:val="1"/>
                              </w:numPr>
                              <w:snapToGrid w:val="false"/>
                              <w:spacing w:lineRule="atLeast" w:line="20"/>
                              <w:ind w:start="284" w:hanging="284"/>
                              <w:jc w:val="start"/>
                              <w:rPr>
                                <w:rFonts w:ascii="Arial" w:hAnsi="Arial" w:cs="Arial"/>
                                <w:sz w:val="21"/>
                                <w:szCs w:val="21"/>
                              </w:rPr>
                            </w:pPr>
                            <w:r>
                              <w:rPr>
                                <w:rFonts w:cs="Arial" w:ascii="Arial" w:hAnsi="Arial"/>
                                <w:sz w:val="21"/>
                                <w:szCs w:val="21"/>
                              </w:rPr>
                              <w:t>Propósito</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r>
                          </w:p>
                          <w:p>
                            <w:pPr>
                              <w:pStyle w:val="Normal"/>
                              <w:snapToGrid w:val="false"/>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0"/>
                              <w:ind w:start="283" w:hanging="283"/>
                              <w:jc w:val="start"/>
                              <w:rPr>
                                <w:rFonts w:ascii="Arial" w:hAnsi="Arial" w:cs="Arial"/>
                                <w:color w:val="00B0F0"/>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Estabelecimento, revisão,</w:t>
                            </w:r>
                            <w:r>
                              <w:rPr>
                                <w:rFonts w:cs="Arial" w:ascii="Arial" w:hAnsi="Arial"/>
                                <w:color w:val="00B0F0"/>
                                <w:sz w:val="21"/>
                                <w:szCs w:val="21"/>
                              </w:rPr>
                              <w:t>revogação</w:t>
                            </w:r>
                            <w:r>
                              <w:rPr>
                                <w:rFonts w:cs="Arial" w:ascii="Arial" w:hAnsi="Arial"/>
                                <w:sz w:val="21"/>
                                <w:szCs w:val="21"/>
                              </w:rPr>
                              <w:t>, e</w:t>
                            </w:r>
                            <w:r>
                              <w:rPr>
                                <w:rFonts w:cs="Arial" w:ascii="Arial" w:hAnsi="Arial"/>
                                <w:color w:val="00B0F0"/>
                                <w:sz w:val="21"/>
                                <w:szCs w:val="21"/>
                              </w:rPr>
                              <w:t xml:space="preserve">emissão</w:t>
                            </w:r>
                          </w:p>
                          <w:p>
                            <w:pPr>
                              <w:pStyle w:val="Normal"/>
                              <w:tabs>
                                <w:tab w:val="clear" w:pos="840"/>
                                <w:tab w:val="left" w:pos="284" w:leader="none"/>
                              </w:tabs>
                              <w:snapToGrid w:val="false"/>
                              <w:spacing w:lineRule="auto" w:line="252"/>
                              <w:ind w:start="567" w:hanging="567"/>
                              <w:jc w:val="start"/>
                              <w:rPr>
                                <w:rFonts w:ascii="Arial" w:hAnsi="Arial" w:cs="Arial"/>
                                <w:color w:val="00B0F0"/>
                                <w:sz w:val="21"/>
                                <w:szCs w:val="21"/>
                              </w:rPr>
                            </w:pPr>
                            <w:r>
                              <w:rPr>
                                <w:rFonts w:cs="Arial" w:ascii="Arial" w:hAnsi="Arial"/>
                                <w:color w:val="00B0F0"/>
                                <w:sz w:val="21"/>
                                <w:szCs w:val="21"/>
                              </w:rPr>
                            </w:r>
                          </w:p>
                          <w:p>
                            <w:pPr>
                              <w:pStyle w:val="Normal"/>
                              <w:snapToGrid w:val="false"/>
                              <w:spacing w:lineRule="atLeast" w:line="20"/>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Definições</w:t>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sz w:val="21"/>
                                <w:szCs w:val="21"/>
                              </w:rPr>
                            </w:pPr>
                            <w:r>
                              <w:rPr>
                                <w:sz w:val="21"/>
                                <w:szCs w:val="21"/>
                              </w:rPr>
                            </w:r>
                          </w:p>
                          <w:p>
                            <w:pPr>
                              <w:pStyle w:val="Normal"/>
                              <w:tabs>
                                <w:tab w:val="clear" w:pos="840"/>
                                <w:tab w:val="left" w:pos="284" w:leader="none"/>
                              </w:tabs>
                              <w:snapToGrid w:val="false"/>
                              <w:spacing w:lineRule="atLeast" w:line="20"/>
                              <w:ind w:start="567" w:hanging="567"/>
                              <w:jc w:val="start"/>
                              <w:rPr>
                                <w:rFonts w:ascii="Arial" w:hAnsi="Arial" w:cs="Arial"/>
                                <w:sz w:val="21"/>
                                <w:szCs w:val="21"/>
                              </w:rPr>
                            </w:pPr>
                            <w:r>
                              <w:rPr>
                                <w:rFonts w:cs="Arial" w:ascii="Arial" w:hAnsi="Arial"/>
                                <w:sz w:val="21"/>
                                <w:szCs w:val="21"/>
                              </w:rPr>
                            </w:r>
                          </w:p>
                          <w:p>
                            <w:pPr>
                              <w:pStyle w:val="Normal"/>
                              <w:snapToGrid w:val="false"/>
                              <w:spacing w:lineRule="atLeast" w:line="20"/>
                              <w:ind w:start="265" w:hanging="265"/>
                              <w:jc w:val="start"/>
                              <w:rPr>
                                <w:rFonts w:ascii="Arial" w:hAnsi="Arial" w:cs="Arial"/>
                                <w:sz w:val="21"/>
                                <w:szCs w:val="21"/>
                              </w:rPr>
                            </w:pPr>
                            <w:r>
                              <w:rPr>
                                <w:rFonts w:cs="Arial" w:ascii="Arial" w:hAnsi="Arial"/>
                                <w:sz w:val="21"/>
                                <w:szCs w:val="21"/>
                              </w:rPr>
                              <w:t>5</w:t>
                            </w:r>
                            <w:r>
                              <w:rPr>
                                <w:rFonts w:cs="Arial" w:ascii="Arial" w:hAnsi="Arial"/>
                                <w:sz w:val="21"/>
                                <w:szCs w:val="21"/>
                              </w:rPr>
                              <w:tab/>
                              <w:t>Elaboração de iniciação de desenvolvimento para novas peças/materiais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0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6.1 Plano para avaliação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uto" w:line="264"/>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6.2 Implementação e avaliação de testes</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Autenticação do processo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Autorização de aceitação</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pPr>
                            <w:r>
                              <w:rPr>
                                <w:rFonts w:cs="Arial" w:ascii="Arial" w:hAnsi="Arial"/>
                                <w:sz w:val="21"/>
                                <w:szCs w:val="21"/>
                              </w:rPr>
                              <w:t>9.</w:t>
                            </w:r>
                            <w:r>
                              <w:rPr>
                                <w:rFonts w:cs="Arial" w:ascii="Arial" w:hAnsi="Arial"/>
                                <w:sz w:val="21"/>
                                <w:szCs w:val="21"/>
                              </w:rPr>
                              <w:tab/>
                            </w:r>
                            <w:r>
                              <w:rPr>
                                <w:rFonts w:cs="Arial" w:ascii="Arial" w:hAnsi="Arial"/>
                                <w:sz w:val="21"/>
                                <w:szCs w:val="21"/>
                              </w:rPr>
                              <w:t>Troca de especificações de entrega</w:t>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r>
                          </w:p>
                          <w:p>
                            <w:pPr>
                              <w:pStyle w:val="Normal"/>
                              <w:tabs>
                                <w:tab w:val="clear" w:pos="840"/>
                                <w:tab w:val="left" w:pos="284" w:leader="none"/>
                              </w:tabs>
                              <w:snapToGrid w:val="false"/>
                              <w:spacing w:lineRule="atLeast" w:line="20"/>
                              <w:ind w:start="330" w:hanging="330"/>
                              <w:jc w:val="start"/>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Armazenamento de registros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O propósito destas Normas é assegurar de forma suave e eficiente a qualidade de novos</w:t>
                            </w:r>
                            <w:r>
                              <w:rPr>
                                <w:rFonts w:cs="Arial" w:ascii="Arial" w:hAnsi="Arial"/>
                                <w:color w:val="00B0F0"/>
                                <w:sz w:val="21"/>
                                <w:szCs w:val="21"/>
                              </w:rPr>
                              <w:t>componentes</w:t>
                            </w:r>
                            <w:r>
                              <w:rPr>
                                <w:rFonts w:cs="Arial" w:ascii="Arial" w:hAnsi="Arial"/>
                                <w:sz w:val="21"/>
                                <w:szCs w:val="21"/>
                              </w:rPr>
                              <w:t>/materiais com base nas “Regras de Controle de Desenvolvimento” (APQ-AD-001).</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 xml:space="preserve">Estas Normas aplicam-se a novos</w:t>
                            </w:r>
                            <w:r>
                              <w:rPr>
                                <w:rFonts w:cs="Arial" w:ascii="Arial" w:hAnsi="Arial"/>
                                <w:color w:val="00B0F0"/>
                                <w:sz w:val="21"/>
                                <w:szCs w:val="21"/>
                              </w:rPr>
                              <w:t>componentes</w:t>
                            </w:r>
                            <w:r>
                              <w:rPr>
                                <w:rFonts w:cs="Arial" w:ascii="Arial" w:hAnsi="Arial"/>
                                <w:sz w:val="21"/>
                                <w:szCs w:val="21"/>
                              </w:rPr>
                              <w:t>/autorização de aceitação de materiais para produtos fabricados e distribuídos pela Appliances Company of Panasonic Corporation (doravante denominada "AP").</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No entanto, na compra de produtos acabados e montagem</w:t>
                            </w:r>
                            <w:r>
                              <w:rPr>
                                <w:rFonts w:cs="Arial" w:ascii="Arial" w:hAnsi="Arial"/>
                                <w:color w:val="00B0F0"/>
                                <w:sz w:val="21"/>
                                <w:szCs w:val="21"/>
                              </w:rPr>
                              <w:t>componentes</w:t>
                            </w:r>
                            <w:r>
                              <w:rPr>
                                <w:rFonts w:cs="Arial" w:ascii="Arial" w:hAnsi="Arial"/>
                                <w:sz w:val="21"/>
                                <w:szCs w:val="21"/>
                              </w:rPr>
                              <w:t>, etc. de outra empresa e quando for possível obter aprovação para novos</w:t>
                            </w:r>
                            <w:r>
                              <w:rPr>
                                <w:rFonts w:cs="Arial" w:ascii="Arial" w:hAnsi="Arial"/>
                                <w:color w:val="00B0F0"/>
                                <w:sz w:val="21"/>
                                <w:szCs w:val="21"/>
                              </w:rPr>
                              <w:t>componentes</w:t>
                            </w:r>
                            <w:r>
                              <w:rPr>
                                <w:rFonts w:cs="Arial" w:ascii="Arial" w:hAnsi="Arial"/>
                                <w:sz w:val="21"/>
                                <w:szCs w:val="21"/>
                              </w:rPr>
                              <w:t xml:space="preserve">/materiais como parte do processo de aprovação de aceitação para produtos acabados e montagem</w:t>
                            </w:r>
                            <w:r>
                              <w:rPr>
                                <w:rFonts w:cs="Arial" w:ascii="Arial" w:hAnsi="Arial"/>
                                <w:color w:val="00B0F0"/>
                                <w:sz w:val="21"/>
                                <w:szCs w:val="21"/>
                              </w:rPr>
                              <w:t>componentes</w:t>
                            </w:r>
                            <w:r>
                              <w:rPr>
                                <w:rFonts w:cs="Arial" w:ascii="Arial" w:hAnsi="Arial"/>
                                <w:sz w:val="21"/>
                                <w:szCs w:val="21"/>
                              </w:rPr>
                              <w:t>, etc., autorização de aceitação de novos</w:t>
                            </w:r>
                            <w:r>
                              <w:rPr>
                                <w:rFonts w:cs="Arial" w:ascii="Arial" w:hAnsi="Arial"/>
                                <w:color w:val="00B0F0"/>
                                <w:sz w:val="21"/>
                                <w:szCs w:val="21"/>
                              </w:rPr>
                              <w:t>componentes</w:t>
                            </w:r>
                            <w:r>
                              <w:rPr>
                                <w:rFonts w:cs="Arial" w:ascii="Arial" w:hAnsi="Arial"/>
                                <w:sz w:val="21"/>
                                <w:szCs w:val="21"/>
                              </w:rPr>
                              <w:t>/materiais podem ser omitidos.</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pPr>
                            <w:r>
                              <w:rPr>
                                <w:rFonts w:cs="Arial" w:ascii="Arial" w:hAnsi="Arial"/>
                                <w:sz w:val="21"/>
                                <w:szCs w:val="21"/>
                              </w:rPr>
                              <w:t xml:space="preserve">Estas Normas devem ser estabelecidas, revisadas e</w:t>
                            </w:r>
                            <w:r>
                              <w:rPr>
                                <w:rFonts w:cs="Arial" w:ascii="Arial" w:hAnsi="Arial"/>
                                <w:color w:val="00B0F0"/>
                                <w:sz w:val="21"/>
                                <w:szCs w:val="21"/>
                              </w:rPr>
                              <w:t>revogado</w:t>
                            </w:r>
                            <w:r>
                              <w:rPr>
                                <w:rFonts w:cs="Arial" w:ascii="Arial" w:hAnsi="Arial"/>
                                <w:sz w:val="21"/>
                                <w:szCs w:val="21"/>
                              </w:rPr>
                              <w:t xml:space="preserve">pelo Chief Technical Officer (CTO) da AP e</w:t>
                            </w:r>
                            <w:r>
                              <w:rPr>
                                <w:rFonts w:cs="Arial" w:ascii="Arial" w:hAnsi="Arial"/>
                                <w:color w:val="00B0F0"/>
                                <w:sz w:val="21"/>
                                <w:szCs w:val="21"/>
                              </w:rPr>
                              <w:t>publicado</w:t>
                            </w:r>
                            <w:r>
                              <w:rPr>
                                <w:rFonts w:cs="Arial" w:ascii="Arial" w:hAnsi="Arial"/>
                                <w:sz w:val="21"/>
                                <w:szCs w:val="21"/>
                              </w:rPr>
                              <w:t xml:space="preserve">por</w:t>
                            </w:r>
                            <w:r>
                              <w:rPr>
                                <w:rFonts w:cs="Arial" w:ascii="Arial" w:hAnsi="Arial"/>
                                <w:color w:val="00B0F0"/>
                                <w:sz w:val="21"/>
                                <w:szCs w:val="21"/>
                              </w:rPr>
                              <w:t>a</w:t>
                            </w:r>
                            <w:r>
                              <w:rPr>
                                <w:rFonts w:cs="Arial" w:ascii="Arial" w:hAnsi="Arial"/>
                                <w:sz w:val="21"/>
                                <w:szCs w:val="21"/>
                              </w:rPr>
                              <w:t xml:space="preserve">Diretor de Engenharia Corporativa</w:t>
                            </w:r>
                            <w:r>
                              <w:rPr>
                                <w:rFonts w:cs="Arial" w:ascii="Arial" w:hAnsi="Arial"/>
                                <w:color w:val="00B0F0"/>
                                <w:sz w:val="21"/>
                                <w:szCs w:val="21"/>
                              </w:rPr>
                              <w:t xml:space="preserve">Divisão</w:t>
                            </w:r>
                            <w:r>
                              <w:rPr>
                                <w:rFonts w:cs="Arial" w:ascii="Arial" w:hAnsi="Arial"/>
                                <w:sz w:val="21"/>
                                <w:szCs w:val="21"/>
                              </w:rPr>
                              <w:t xml:space="preserve">P&amp;D</w:t>
                            </w:r>
                            <w:r>
                              <w:rPr>
                                <w:rFonts w:cs="Arial" w:ascii="Arial" w:hAnsi="Arial"/>
                                <w:color w:val="FF0000"/>
                                <w:sz w:val="21"/>
                                <w:szCs w:val="21"/>
                              </w:rPr>
                              <w:t>Planejamento</w:t>
                            </w:r>
                            <w:r>
                              <w:rPr>
                                <w:rFonts w:cs="Arial" w:ascii="Arial" w:hAnsi="Arial"/>
                                <w:sz w:val="21"/>
                                <w:szCs w:val="21"/>
                              </w:rPr>
                              <w:t xml:space="preserve">Centro.</w:t>
                            </w:r>
                          </w:p>
                          <w:p>
                            <w:pPr>
                              <w:pStyle w:val="Normal"/>
                              <w:snapToGrid w:val="false"/>
                              <w:spacing w:lineRule="auto" w:line="264"/>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"Novo</w:t>
                            </w:r>
                            <w:r>
                              <w:rPr>
                                <w:rFonts w:cs="Arial" w:ascii="Arial" w:hAnsi="Arial"/>
                                <w:color w:val="00B0F0"/>
                                <w:sz w:val="21"/>
                                <w:szCs w:val="21"/>
                              </w:rPr>
                              <w:t>componentes</w:t>
                            </w:r>
                            <w:r>
                              <w:rPr>
                                <w:rFonts w:cs="Arial" w:ascii="Arial" w:hAnsi="Arial"/>
                                <w:sz w:val="21"/>
                                <w:szCs w:val="21"/>
                              </w:rPr>
                              <w:t>/materiais” deve se referir ao seguinte</w:t>
                            </w:r>
                            <w:r>
                              <w:rPr>
                                <w:rFonts w:cs="Arial" w:ascii="Arial" w:hAnsi="Arial"/>
                                <w:color w:val="00B0F0"/>
                                <w:sz w:val="21"/>
                                <w:szCs w:val="21"/>
                              </w:rPr>
                              <w:t>componentes</w:t>
                            </w:r>
                            <w:r>
                              <w:rPr>
                                <w:rFonts w:cs="Arial" w:ascii="Arial" w:hAnsi="Arial"/>
                                <w:sz w:val="21"/>
                                <w:szCs w:val="21"/>
                              </w:rPr>
                              <w:t xml:space="preserve">e materiais que são recentemente aceitos.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Segurança crítica</w:t>
                            </w:r>
                            <w:r>
                              <w:rPr>
                                <w:rFonts w:cs="Arial" w:ascii="Arial" w:hAnsi="Arial"/>
                                <w:color w:val="00B0F0"/>
                                <w:sz w:val="21"/>
                                <w:szCs w:val="21"/>
                              </w:rPr>
                              <w:t>componentes</w:t>
                            </w:r>
                          </w:p>
                          <w:p>
                            <w:pPr>
                              <w:pStyle w:val="Normal"/>
                              <w:numPr>
                                <w:ilvl w:val="0"/>
                                <w:numId w:val="3"/>
                              </w:numPr>
                              <w:snapToGrid w:val="false"/>
                              <w:spacing w:lineRule="atLeast" w:line="20"/>
                              <w:jc w:val="start"/>
                              <w:rPr>
                                <w:rFonts w:ascii="Arial" w:hAnsi="Arial" w:cs="Arial"/>
                                <w:sz w:val="21"/>
                                <w:szCs w:val="21"/>
                              </w:rPr>
                            </w:pPr>
                            <w:r>
                              <w:rPr>
                                <w:rFonts w:cs="Arial" w:ascii="Arial" w:hAnsi="Arial"/>
                                <w:sz w:val="21"/>
                                <w:szCs w:val="21"/>
                              </w:rPr>
                              <w:t xml:space="preserve">Funcional crítico</w:t>
                            </w:r>
                            <w:r>
                              <w:rPr>
                                <w:rFonts w:cs="Arial" w:ascii="Arial" w:hAnsi="Arial"/>
                                <w:color w:val="00B0F0"/>
                                <w:sz w:val="21"/>
                                <w:szCs w:val="21"/>
                              </w:rPr>
                              <w:t>componentes</w:t>
                            </w:r>
                            <w:r>
                              <w:rPr>
                                <w:rFonts w:cs="Arial" w:ascii="Arial" w:hAnsi="Arial"/>
                                <w:sz w:val="21"/>
                                <w:szCs w:val="21"/>
                              </w:rPr>
                              <w:t>/materiais (quando uma divisão designa “funcional crítico</w:t>
                            </w:r>
                            <w:r>
                              <w:rPr>
                                <w:rFonts w:cs="Arial" w:ascii="Arial" w:hAnsi="Arial"/>
                                <w:color w:val="00B0F0"/>
                                <w:sz w:val="21"/>
                                <w:szCs w:val="21"/>
                              </w:rPr>
                              <w:t>componentes</w:t>
                            </w:r>
                            <w:r>
                              <w:rPr>
                                <w:rFonts w:cs="Arial" w:ascii="Arial" w:hAnsi="Arial"/>
                                <w:sz w:val="21"/>
                                <w:szCs w:val="21"/>
                              </w:rPr>
                              <w:t>/materiais”)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e mecanismos que têm uma nova função</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/materiais para os quais não há registros de rastreamento, ou</w:t>
                            </w:r>
                            <w:r>
                              <w:rPr>
                                <w:rFonts w:cs="Arial" w:ascii="Arial" w:hAnsi="Arial"/>
                                <w:color w:val="00B0F0"/>
                                <w:sz w:val="21"/>
                                <w:szCs w:val="21"/>
                              </w:rPr>
                              <w:t>componentes</w:t>
                            </w:r>
                            <w:r>
                              <w:rPr>
                                <w:rFonts w:cs="Arial" w:ascii="Arial" w:hAnsi="Arial"/>
                                <w:sz w:val="21"/>
                                <w:szCs w:val="21"/>
                              </w:rPr>
                              <w:t>/materiais de um novo fornecedor (incluindo commodities)</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para os quais o fornecedor, qualidade do material, aplicação, estrutura ou propriedade foi alterado (resina, chapa de aço, tinta, adesivos, refrigerantes, etc.; diferença de grau é considerada um novo material)</w:t>
                            </w:r>
                          </w:p>
                          <w:p>
                            <w:pPr>
                              <w:pStyle w:val="Normal"/>
                              <w:numPr>
                                <w:ilvl w:val="0"/>
                                <w:numId w:val="3"/>
                              </w:numPr>
                              <w:snapToGrid w:val="false"/>
                              <w:spacing w:lineRule="atLeast" w:line="20"/>
                              <w:jc w:val="start"/>
                              <w:rPr>
                                <w:rFonts w:ascii="Arial" w:hAnsi="Arial" w:cs="Arial"/>
                                <w:sz w:val="21"/>
                                <w:szCs w:val="21"/>
                              </w:rPr>
                            </w:pPr>
                            <w:r>
                              <w:rPr>
                                <w:rFonts w:cs="Arial" w:ascii="Arial" w:hAnsi="Arial"/>
                                <w:color w:val="00B0F0"/>
                                <w:sz w:val="21"/>
                                <w:szCs w:val="21"/>
                              </w:rPr>
                              <w:t>Componentes</w:t>
                            </w:r>
                            <w:r>
                              <w:rPr>
                                <w:rFonts w:cs="Arial" w:ascii="Arial" w:hAnsi="Arial"/>
                                <w:sz w:val="21"/>
                                <w:szCs w:val="21"/>
                              </w:rPr>
                              <w:t xml:space="preserve">/materiais cuja aceitação precisa ser autorizada individualmente por conterem um elemento de alta tecnologia</w:t>
                            </w:r>
                          </w:p>
                          <w:p>
                            <w:pPr>
                              <w:pStyle w:val="Normal"/>
                              <w:numPr>
                                <w:ilvl w:val="0"/>
                                <w:numId w:val="3"/>
                              </w:numPr>
                              <w:snapToGrid w:val="false"/>
                              <w:spacing w:lineRule="atLeast" w:line="20"/>
                              <w:jc w:val="start"/>
                              <w:rPr/>
                            </w:pPr>
                            <w:r>
                              <w:rPr>
                                <w:rFonts w:cs="Arial" w:ascii="Arial" w:hAnsi="Arial"/>
                                <w:sz w:val="21"/>
                                <w:szCs w:val="21"/>
                              </w:rPr>
                              <w:t xml:space="preserve">Outro</w:t>
                            </w:r>
                            <w:r>
                              <w:rPr>
                                <w:rFonts w:cs="Arial" w:ascii="Arial" w:hAnsi="Arial"/>
                                <w:color w:val="00B0F0"/>
                                <w:sz w:val="21"/>
                                <w:szCs w:val="21"/>
                              </w:rPr>
                              <w:t>componentes</w:t>
                            </w:r>
                            <w:r>
                              <w:rPr>
                                <w:rFonts w:cs="Arial" w:ascii="Arial" w:hAnsi="Arial"/>
                                <w:sz w:val="21"/>
                                <w:szCs w:val="21"/>
                              </w:rPr>
                              <w:t xml:space="preserve">e materiais que requerem autorização de novos</w:t>
                            </w:r>
                            <w:r>
                              <w:rPr>
                                <w:rFonts w:cs="Arial" w:ascii="Arial" w:hAnsi="Arial"/>
                                <w:color w:val="00B0F0"/>
                                <w:sz w:val="21"/>
                                <w:szCs w:val="21"/>
                              </w:rPr>
                              <w:t>componentes</w:t>
                            </w:r>
                            <w:r>
                              <w:rPr>
                                <w:rFonts w:cs="Arial" w:ascii="Arial" w:hAnsi="Arial"/>
                                <w:sz w:val="21"/>
                                <w:szCs w:val="21"/>
                              </w:rPr>
                              <w:t>/materiais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Para novos</w:t>
                            </w:r>
                            <w:r>
                              <w:rPr>
                                <w:rFonts w:cs="Arial" w:ascii="Arial" w:hAnsi="Arial"/>
                                <w:color w:val="00B0F0"/>
                                <w:sz w:val="21"/>
                                <w:szCs w:val="21"/>
                              </w:rPr>
                              <w:t>componentes</w:t>
                            </w:r>
                            <w:r>
                              <w:rPr>
                                <w:rFonts w:cs="Arial" w:ascii="Arial" w:hAnsi="Arial"/>
                                <w:sz w:val="21"/>
                                <w:szCs w:val="21"/>
                              </w:rPr>
                              <w:t>/materiais, cada divisão deve especificar a definição detalhada, classificação de classificação e conteúdo de avaliação e fluxo de aprovação de acordo com a classificação de classificação,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t>Para a divisão de funções de divisões no exterior e divisões controladoras, os “Padrões de Operação de Negócios no Exterior” (APQ-BG-007) devem ser seguidos.</w:t>
                            </w:r>
                          </w:p>
                          <w:p>
                            <w:pPr>
                              <w:pStyle w:val="Normal"/>
                              <w:snapToGrid w:val="false"/>
                              <w:spacing w:lineRule="atLeast" w:line="20"/>
                              <w:jc w:val="start"/>
                              <w:rPr>
                                <w:rFonts w:ascii="Arial" w:hAnsi="Arial" w:cs="Arial"/>
                                <w:sz w:val="21"/>
                                <w:szCs w:val="21"/>
                              </w:rPr>
                            </w:pPr>
                            <w:r>
                              <w:rPr>
                                <w:rFonts w:cs="Arial" w:ascii="Arial" w:hAnsi="Arial"/>
                                <w:sz w:val="21"/>
                                <w:szCs w:val="21"/>
                              </w:rPr>
                              <w:t>A definição de segurança crítica</w:t>
                            </w:r>
                            <w:r>
                              <w:rPr>
                                <w:rFonts w:cs="Arial" w:ascii="Arial" w:hAnsi="Arial"/>
                                <w:color w:val="00B0F0"/>
                                <w:sz w:val="21"/>
                                <w:szCs w:val="21"/>
                              </w:rPr>
                              <w:t>componentes</w:t>
                            </w:r>
                            <w:r>
                              <w:rPr>
                                <w:rFonts w:cs="Arial" w:ascii="Arial" w:hAnsi="Arial"/>
                                <w:color w:val="FF0000"/>
                                <w:sz w:val="21"/>
                                <w:szCs w:val="21"/>
                              </w:rPr>
                              <w:t xml:space="preserve">(incluindo marcações de segurança do produto)</w:t>
                            </w:r>
                            <w:r>
                              <w:rPr>
                                <w:rFonts w:cs="Arial" w:ascii="Arial" w:hAnsi="Arial"/>
                                <w:sz w:val="21"/>
                                <w:szCs w:val="21"/>
                              </w:rPr>
                              <w:t xml:space="preserve">será o previsto nas “Normas de Gerenciamento de Segurança do Produto” (APQ-BG-006).</w:t>
                            </w:r>
                          </w:p>
                          <w:p>
                            <w:pPr>
                              <w:pStyle w:val="Normal"/>
                              <w:snapToGrid w:val="false"/>
                              <w:spacing w:lineRule="auto" w:line="30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Se o</w:t>
                            </w:r>
                            <w:r>
                              <w:rPr>
                                <w:rFonts w:cs="Arial" w:ascii="Arial" w:hAnsi="Arial"/>
                                <w:color w:val="00B0F0"/>
                                <w:sz w:val="21"/>
                                <w:szCs w:val="21"/>
                              </w:rPr>
                              <w:t>componentes</w:t>
                            </w:r>
                            <w:r>
                              <w:rPr>
                                <w:rFonts w:cs="Arial" w:ascii="Arial" w:hAnsi="Arial"/>
                                <w:sz w:val="21"/>
                                <w:szCs w:val="21"/>
                              </w:rPr>
                              <w:t>/materiais a serem aceitos são novos</w:t>
                            </w:r>
                            <w:r>
                              <w:rPr>
                                <w:rFonts w:cs="Arial" w:ascii="Arial" w:hAnsi="Arial"/>
                                <w:color w:val="00B0F0"/>
                                <w:sz w:val="21"/>
                                <w:szCs w:val="21"/>
                              </w:rPr>
                              <w:t>componentes</w:t>
                            </w:r>
                            <w:r>
                              <w:rPr>
                                <w:rFonts w:cs="Arial" w:ascii="Arial" w:hAnsi="Arial"/>
                                <w:sz w:val="21"/>
                                <w:szCs w:val="21"/>
                              </w:rPr>
                              <w:t>/materiais, o departamento de design/desenvolvimento deverá registrar o mesmo no novo</w:t>
                            </w:r>
                            <w:r>
                              <w:rPr>
                                <w:rFonts w:cs="Arial" w:ascii="Arial" w:hAnsi="Arial"/>
                                <w:color w:val="00B0F0"/>
                                <w:sz w:val="21"/>
                                <w:szCs w:val="21"/>
                              </w:rPr>
                              <w:t>componentes</w:t>
                            </w:r>
                            <w:r>
                              <w:rPr>
                                <w:rFonts w:cs="Arial" w:ascii="Arial" w:hAnsi="Arial"/>
                                <w:sz w:val="21"/>
                                <w:szCs w:val="21"/>
                              </w:rPr>
                              <w:t>/lista de registro de materiais, iniciar o desenvolvimento e obter aprovação do chefe do departamento de design/desenvolvimento após confirmação com o chefe do departamento de qualidade.</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Em princípio, o registro no novo</w:t>
                            </w:r>
                            <w:r>
                              <w:rPr>
                                <w:rFonts w:cs="Arial" w:ascii="Arial" w:hAnsi="Arial"/>
                                <w:color w:val="00B0F0"/>
                                <w:sz w:val="21"/>
                                <w:szCs w:val="21"/>
                              </w:rPr>
                              <w:t>componentes</w:t>
                            </w:r>
                            <w:r>
                              <w:rPr>
                                <w:rFonts w:cs="Arial" w:ascii="Arial" w:hAnsi="Arial"/>
                                <w:sz w:val="21"/>
                                <w:szCs w:val="21"/>
                              </w:rPr>
                              <w:t>/lista de registro de materiais deve ser completada antes que seja tomada uma decisão para comercialização.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Informações sobre o novo</w:t>
                            </w:r>
                            <w:r>
                              <w:rPr>
                                <w:rFonts w:cs="Arial" w:ascii="Arial" w:hAnsi="Arial"/>
                                <w:color w:val="00B0F0"/>
                                <w:sz w:val="21"/>
                                <w:szCs w:val="21"/>
                              </w:rPr>
                              <w:t>componentes</w:t>
                            </w:r>
                            <w:r>
                              <w:rPr>
                                <w:rFonts w:cs="Arial" w:ascii="Arial" w:hAnsi="Arial"/>
                                <w:sz w:val="21"/>
                                <w:szCs w:val="21"/>
                              </w:rPr>
                              <w:t xml:space="preserve">/materiais cujo uso foi solicitado e aprovado devem ser compartilhados com os departamentos relevantes para evitar quaisquer obstáculos na aquisição, produção, inspeção de entrada e outros processos durante o processo de aceitação.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design/desenvolvimento deve avaliar novos</w:t>
                            </w:r>
                            <w:r>
                              <w:rPr>
                                <w:rFonts w:cs="Arial" w:ascii="Arial" w:hAnsi="Arial"/>
                                <w:color w:val="00B0F0"/>
                                <w:sz w:val="21"/>
                                <w:szCs w:val="21"/>
                              </w:rPr>
                              <w:t>componentes</w:t>
                            </w:r>
                            <w:r>
                              <w:rPr>
                                <w:rFonts w:cs="Arial" w:ascii="Arial" w:hAnsi="Arial"/>
                                <w:sz w:val="21"/>
                                <w:szCs w:val="21"/>
                              </w:rPr>
                              <w:t>/materiais registrados no novo</w:t>
                            </w:r>
                            <w:r>
                              <w:rPr>
                                <w:rFonts w:cs="Arial" w:ascii="Arial" w:hAnsi="Arial"/>
                                <w:color w:val="00B0F0"/>
                                <w:sz w:val="21"/>
                                <w:szCs w:val="21"/>
                              </w:rPr>
                              <w:t>componentes</w:t>
                            </w:r>
                            <w:r>
                              <w:rPr>
                                <w:rFonts w:cs="Arial" w:ascii="Arial" w:hAnsi="Arial"/>
                                <w:sz w:val="21"/>
                                <w:szCs w:val="21"/>
                              </w:rPr>
                              <w:t>/lista de registro de materiais após revisão do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O departamento de projeto/desenvolvimento deve confirmar os padrões técnicos públicos, padrões técnicos internos e outros padrões para novos</w:t>
                            </w:r>
                            <w:r>
                              <w:rPr>
                                <w:rFonts w:cs="Arial" w:ascii="Arial" w:hAnsi="Arial"/>
                                <w:color w:val="00B0F0"/>
                                <w:sz w:val="21"/>
                                <w:szCs w:val="21"/>
                              </w:rPr>
                              <w:t>componentes</w:t>
                            </w:r>
                            <w:r>
                              <w:rPr>
                                <w:rFonts w:cs="Arial" w:ascii="Arial" w:hAnsi="Arial"/>
                                <w:sz w:val="21"/>
                                <w:szCs w:val="21"/>
                              </w:rPr>
                              <w:t>/materiais, revise os itens de avaliação e conteúdos imediatamente após o desenvolvimento para novos</w:t>
                            </w:r>
                            <w:r>
                              <w:rPr>
                                <w:rFonts w:cs="Arial" w:ascii="Arial" w:hAnsi="Arial"/>
                                <w:color w:val="00B0F0"/>
                                <w:sz w:val="21"/>
                                <w:szCs w:val="21"/>
                              </w:rPr>
                              <w:t>componentes</w:t>
                            </w:r>
                            <w:r>
                              <w:rPr>
                                <w:rFonts w:cs="Arial" w:ascii="Arial" w:hAnsi="Arial"/>
                                <w:sz w:val="21"/>
                                <w:szCs w:val="21"/>
                              </w:rPr>
                              <w:t xml:space="preserve">/materiais é iniciado e informa os departamentos relacionados após consulta ao departamento de qualidade sobre o plano de avaliação.</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Além disso, os itens e conteúdos de avaliação devem ser extraídos sem omissão, utilizando métodos científicos, como FMEA e FTA, conhecimento de prevenção em toda a empresa e informações QUICS.</w:t>
                            </w:r>
                          </w:p>
                          <w:p>
                            <w:pPr>
                              <w:pStyle w:val="Normal"/>
                              <w:snapToGrid w:val="false"/>
                              <w:spacing w:lineRule="atLeast" w:line="20"/>
                              <w:ind w:start="360" w:hanging="314"/>
                              <w:jc w:val="start"/>
                              <w:rPr>
                                <w:rFonts w:ascii="Arial" w:hAnsi="Arial" w:cs="Arial"/>
                                <w:sz w:val="21"/>
                                <w:szCs w:val="21"/>
                              </w:rPr>
                            </w:pPr>
                            <w:r>
                              <w:rPr>
                                <w:rFonts w:cs="Arial" w:ascii="Arial" w:hAnsi="Arial"/>
                                <w:sz w:val="21"/>
                                <w:szCs w:val="21"/>
                              </w:rPr>
                              <w:t>Os seguintes itens devem ser incluídos no plano de avaliação: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Agendar até a aceitação (incluindo plano de teste)</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de avaliação e conteúdo</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Necessidade de autenticação e programação do processo de fabricação</w:t>
                            </w:r>
                          </w:p>
                          <w:p>
                            <w:pPr>
                              <w:pStyle w:val="Normal"/>
                              <w:snapToGrid w:val="false"/>
                              <w:spacing w:lineRule="atLeast" w:line="20"/>
                              <w:ind w:start="430" w:hanging="0"/>
                              <w:jc w:val="start"/>
                              <w:rPr>
                                <w:rFonts w:ascii="Arial" w:hAnsi="Arial" w:cs="Arial"/>
                                <w:sz w:val="21"/>
                                <w:szCs w:val="21"/>
                              </w:rPr>
                            </w:pPr>
                            <w:r>
                              <w:rPr>
                                <w:rFonts w:cs="Arial" w:ascii="Arial" w:hAnsi="Arial"/>
                                <w:sz w:val="21"/>
                                <w:szCs w:val="21"/>
                              </w:rPr>
                              <w:t>(Em princípio, a autenticação do processo deve ser implementada para segurança crítica</w:t>
                            </w:r>
                            <w:r>
                              <w:rPr>
                                <w:rFonts w:cs="Arial" w:ascii="Arial" w:hAnsi="Arial"/>
                                <w:color w:val="00B0F0"/>
                                <w:sz w:val="21"/>
                                <w:szCs w:val="21"/>
                              </w:rPr>
                              <w:t>componentes</w:t>
                            </w:r>
                            <w:r>
                              <w:rPr>
                                <w:rFonts w:cs="Arial" w:ascii="Arial" w:hAnsi="Arial"/>
                                <w:sz w:val="21"/>
                                <w:szCs w:val="21"/>
                              </w:rPr>
                              <w:t xml:space="preserve">.</w:t>
                            </w:r>
                            <w:r>
                              <w:rPr>
                                <w:rFonts w:cs="Arial" w:ascii="Arial" w:hAnsi="Arial"/>
                                <w:color w:val="FF0000"/>
                                <w:sz w:val="21"/>
                                <w:szCs w:val="21"/>
                              </w:rPr>
                              <w:t>No entanto, a autenticação do processo pode não ser necessária para componentes cuja qualidade pode ser assegurada pela inspeção de entrada das marcações de segurança do produto.</w:t>
                            </w:r>
                            <w:r>
                              <w:rPr>
                                <w:rFonts w:cs="Arial" w:ascii="Arial" w:hAnsi="Arial"/>
                                <w:sz w:val="21"/>
                                <w:szCs w:val="21"/>
                              </w:rPr>
                              <w:t>)</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Conteúdo escrito da especificação de entrega (</w:t>
                            </w:r>
                            <w:r>
                              <w:rPr>
                                <w:rFonts w:cs="Arial" w:ascii="Arial" w:hAnsi="Arial"/>
                                <w:color w:val="00B0F0"/>
                                <w:sz w:val="21"/>
                                <w:szCs w:val="21"/>
                              </w:rPr>
                              <w:t>componentes</w:t>
                            </w:r>
                            <w:r>
                              <w:rPr>
                                <w:rFonts w:cs="Arial" w:ascii="Arial" w:hAnsi="Arial"/>
                                <w:sz w:val="21"/>
                                <w:szCs w:val="21"/>
                              </w:rPr>
                              <w:t xml:space="preserve">/especificações do material)</w:t>
                            </w:r>
                          </w:p>
                          <w:p>
                            <w:pPr>
                              <w:pStyle w:val="Normal"/>
                              <w:numPr>
                                <w:ilvl w:val="0"/>
                                <w:numId w:val="4"/>
                              </w:numPr>
                              <w:snapToGrid w:val="false"/>
                              <w:spacing w:lineRule="atLeast" w:line="20"/>
                              <w:jc w:val="start"/>
                              <w:rPr>
                                <w:rFonts w:ascii="Arial" w:hAnsi="Arial" w:cs="Arial"/>
                                <w:sz w:val="21"/>
                                <w:szCs w:val="21"/>
                              </w:rPr>
                            </w:pPr>
                            <w:r>
                              <w:rPr>
                                <w:rFonts w:cs="Arial" w:ascii="Arial" w:hAnsi="Arial"/>
                                <w:sz w:val="21"/>
                                <w:szCs w:val="21"/>
                              </w:rPr>
                              <w:t>Itens relacionados ao gerenciamento de substâncias químicas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Com relação aos casos em que os testes devem ser implementados, um plano deve ser feito com os seguintes pontos em mente. Se necessário, uma revisão do projeto de teste, etc. deve ser realizada e um acordo deve ser alcançado com os departamentos relacionados.</w:t>
                            </w:r>
                          </w:p>
                          <w:p>
                            <w:pPr>
                              <w:pStyle w:val="Normal"/>
                              <w:snapToGrid w:val="false"/>
                              <w:spacing w:lineRule="atLeast" w:line="20"/>
                              <w:jc w:val="start"/>
                              <w:rPr>
                                <w:rFonts w:ascii="Arial" w:hAnsi="Arial" w:cs="Arial"/>
                                <w:sz w:val="21"/>
                                <w:szCs w:val="21"/>
                              </w:rPr>
                            </w:pPr>
                            <w:r>
                              <w:rPr>
                                <w:rFonts w:cs="Arial" w:ascii="Arial" w:hAnsi="Arial"/>
                                <w:sz w:val="21"/>
                                <w:szCs w:val="21"/>
                              </w:rPr>
                              <w:t>(a) Qualidade alvo</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Revise o desempenho, as funções e outros parâmetros necessários para a faixa de ambiente de uso.</w:t>
                            </w:r>
                          </w:p>
                          <w:p>
                            <w:pPr>
                              <w:pStyle w:val="Normal"/>
                              <w:snapToGrid w:val="false"/>
                              <w:spacing w:lineRule="atLeast" w:line="20"/>
                              <w:jc w:val="start"/>
                              <w:rPr>
                                <w:rFonts w:ascii="Arial" w:hAnsi="Arial" w:cs="Arial"/>
                                <w:sz w:val="21"/>
                                <w:szCs w:val="21"/>
                              </w:rPr>
                            </w:pPr>
                            <w:r>
                              <w:rPr>
                                <w:rFonts w:cs="Arial" w:ascii="Arial" w:hAnsi="Arial"/>
                                <w:sz w:val="21"/>
                                <w:szCs w:val="21"/>
                              </w:rPr>
                              <w:t>(b) Cronograma de teste, número de unidades, condições e método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Determine o conteúdo do teste considerando as variações de</w:t>
                            </w:r>
                            <w:r>
                              <w:rPr>
                                <w:rFonts w:cs="Arial" w:ascii="Arial" w:hAnsi="Arial"/>
                                <w:color w:val="00B0F0"/>
                                <w:sz w:val="21"/>
                                <w:szCs w:val="21"/>
                              </w:rPr>
                              <w:t>componentes</w:t>
                            </w:r>
                            <w:r>
                              <w:rPr>
                                <w:rFonts w:cs="Arial" w:ascii="Arial" w:hAnsi="Arial"/>
                                <w:sz w:val="21"/>
                                <w:szCs w:val="21"/>
                              </w:rPr>
                              <w:t>/materiais.</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Conduzir avaliação de aceleração e avaliação de durabilidade, considerando a vida útil do produto de projeto (incluindo período de verificação de segurança para segurança crítica</w:t>
                            </w:r>
                            <w:r>
                              <w:rPr>
                                <w:rFonts w:cs="Arial" w:ascii="Arial" w:hAnsi="Arial"/>
                                <w:color w:val="00B0F0"/>
                                <w:sz w:val="21"/>
                                <w:szCs w:val="21"/>
                              </w:rPr>
                              <w:t>componentes</w:t>
                            </w:r>
                            <w:r>
                              <w:rPr>
                                <w:rFonts w:cs="Arial" w:ascii="Arial" w:hAnsi="Arial"/>
                                <w:sz w:val="21"/>
                                <w:szCs w:val="21"/>
                              </w:rPr>
                              <w:t>).</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Ao realizar testes de vida, os testes devem ser continuados até que ocorra a destruição, em princípio.</w:t>
                            </w:r>
                          </w:p>
                          <w:p>
                            <w:pPr>
                              <w:pStyle w:val="Normal"/>
                              <w:numPr>
                                <w:ilvl w:val="0"/>
                                <w:numId w:val="2"/>
                              </w:numPr>
                              <w:tabs>
                                <w:tab w:val="clear" w:pos="840"/>
                              </w:tabs>
                              <w:snapToGrid w:val="false"/>
                              <w:spacing w:lineRule="atLeast" w:line="20"/>
                              <w:ind w:start="816" w:hanging="440"/>
                              <w:jc w:val="start"/>
                              <w:rPr>
                                <w:rFonts w:ascii="Arial" w:hAnsi="Arial" w:cs="Arial"/>
                                <w:sz w:val="21"/>
                                <w:szCs w:val="21"/>
                              </w:rPr>
                            </w:pPr>
                            <w:r>
                              <w:rPr>
                                <w:rFonts w:cs="Arial" w:ascii="Arial" w:hAnsi="Arial"/>
                                <w:sz w:val="21"/>
                                <w:szCs w:val="21"/>
                              </w:rPr>
                              <w:t xml:space="preserve">Realize testes usando amostras compostas por</w:t>
                            </w:r>
                            <w:r>
                              <w:rPr>
                                <w:rFonts w:cs="Arial" w:ascii="Arial" w:hAnsi="Arial"/>
                                <w:color w:val="00B0F0"/>
                                <w:sz w:val="21"/>
                                <w:szCs w:val="21"/>
                              </w:rPr>
                              <w:t>componentes</w:t>
                            </w:r>
                            <w:r>
                              <w:rPr>
                                <w:rFonts w:cs="Arial" w:ascii="Arial" w:hAnsi="Arial"/>
                                <w:sz w:val="21"/>
                                <w:szCs w:val="21"/>
                              </w:rPr>
                              <w:t>/materiais equivalentes aos fabricados no processo de produção em massa.</w:t>
                            </w:r>
                          </w:p>
                          <w:p>
                            <w:pPr>
                              <w:pStyle w:val="Normal"/>
                              <w:snapToGrid w:val="false"/>
                              <w:spacing w:lineRule="atLeast" w:line="20"/>
                              <w:ind w:start="376" w:hanging="330"/>
                              <w:jc w:val="start"/>
                              <w:rPr>
                                <w:rFonts w:ascii="Arial" w:hAnsi="Arial" w:cs="Arial"/>
                                <w:sz w:val="21"/>
                                <w:szCs w:val="21"/>
                              </w:rPr>
                            </w:pPr>
                            <w:r>
                              <w:rPr>
                                <w:rFonts w:cs="Arial" w:ascii="Arial" w:hAnsi="Arial"/>
                                <w:sz w:val="21"/>
                                <w:szCs w:val="21"/>
                              </w:rPr>
                              <w:t>(c) Departamento responsável pelos testes (incluindo revisão de um dos seguintes: a divisão, fábrica no exterior ou parceiros terceirizados)</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(d) Coleta de opiniões (conhecimento) de especialistas externos, etc.</w:t>
                            </w:r>
                          </w:p>
                          <w:p>
                            <w:pPr>
                              <w:pStyle w:val="Normal"/>
                              <w:snapToGrid w:val="false"/>
                              <w:spacing w:lineRule="atLeast" w:line="20"/>
                              <w:ind w:start="376" w:hanging="110"/>
                              <w:jc w:val="start"/>
                              <w:rPr>
                                <w:rFonts w:ascii="Arial" w:hAnsi="Arial" w:cs="Arial"/>
                                <w:sz w:val="21"/>
                                <w:szCs w:val="21"/>
                              </w:rPr>
                            </w:pPr>
                            <w:r>
                              <w:rPr>
                                <w:rFonts w:eastAsia="Arial" w:cs="Arial" w:ascii="Arial" w:hAnsi="Arial"/>
                                <w:sz w:val="21"/>
                                <w:szCs w:val="21"/>
                              </w:rPr>
                              <w:t xml:space="preserve"> </w:t>
                            </w:r>
                            <w:r>
                              <w:rPr>
                                <w:rFonts w:cs="Arial" w:ascii="Arial" w:hAnsi="Arial"/>
                                <w:sz w:val="21"/>
                                <w:szCs w:val="21"/>
                              </w:rPr>
                              <w:t>Para materiais, segurança crítica</w:t>
                            </w:r>
                            <w:r>
                              <w:rPr>
                                <w:rFonts w:cs="Arial" w:ascii="Arial" w:hAnsi="Arial"/>
                                <w:color w:val="00B0F0"/>
                                <w:sz w:val="21"/>
                                <w:szCs w:val="21"/>
                              </w:rPr>
                              <w:t>componentes</w:t>
                            </w:r>
                            <w:r>
                              <w:rPr>
                                <w:rFonts w:cs="Arial" w:ascii="Arial" w:hAnsi="Arial"/>
                                <w:sz w:val="21"/>
                                <w:szCs w:val="21"/>
                              </w:rPr>
                              <w:t xml:space="preserve">, e funções críticas</w:t>
                            </w:r>
                            <w:r>
                              <w:rPr>
                                <w:rFonts w:cs="Arial" w:ascii="Arial" w:hAnsi="Arial"/>
                                <w:color w:val="00B0F0"/>
                                <w:sz w:val="21"/>
                                <w:szCs w:val="21"/>
                              </w:rPr>
                              <w:t>componentes</w:t>
                            </w:r>
                            <w:r>
                              <w:rPr>
                                <w:rFonts w:cs="Arial" w:ascii="Arial" w:hAnsi="Arial"/>
                                <w:sz w:val="21"/>
                                <w:szCs w:val="21"/>
                              </w:rPr>
                              <w:t>, as opiniões de outros especialistas que não os da divisão devem ser consultadas conforme necessário.</w:t>
                            </w:r>
                          </w:p>
                          <w:p>
                            <w:pPr>
                              <w:pStyle w:val="Normal"/>
                              <w:snapToGrid w:val="false"/>
                              <w:spacing w:lineRule="atLeast" w:line="20"/>
                              <w:ind w:start="57" w:hanging="0"/>
                              <w:jc w:val="start"/>
                              <w:rPr>
                                <w:rFonts w:ascii="Arial" w:hAnsi="Arial" w:cs="Arial"/>
                                <w:sz w:val="21"/>
                                <w:szCs w:val="21"/>
                              </w:rPr>
                            </w:pPr>
                            <w:r>
                              <w:rPr>
                                <w:rFonts w:cs="Arial" w:ascii="Arial" w:hAnsi="Arial"/>
                                <w:sz w:val="21"/>
                                <w:szCs w:val="21"/>
                              </w:rPr>
                              <w:t>(e) Necessidade de guarda da amostra</w:t>
                            </w:r>
                          </w:p>
                          <w:p>
                            <w:pPr>
                              <w:pStyle w:val="Normal"/>
                              <w:snapToGrid w:val="false"/>
                              <w:spacing w:lineRule="atLeast" w:line="20"/>
                              <w:ind w:start="376" w:hanging="0"/>
                              <w:jc w:val="start"/>
                              <w:rPr>
                                <w:rFonts w:ascii="Arial" w:hAnsi="Arial" w:cs="Arial"/>
                                <w:sz w:val="21"/>
                                <w:szCs w:val="21"/>
                              </w:rPr>
                            </w:pPr>
                            <w:r>
                              <w:rPr>
                                <w:rFonts w:cs="Arial" w:ascii="Arial" w:hAnsi="Arial"/>
                                <w:sz w:val="21"/>
                                <w:szCs w:val="21"/>
                              </w:rPr>
                              <w:t xml:space="preserve">Quando necessário, armazene itens críticos de segurança</w:t>
                            </w:r>
                            <w:r>
                              <w:rPr>
                                <w:rFonts w:cs="Arial" w:ascii="Arial" w:hAnsi="Arial"/>
                                <w:color w:val="00B0F0"/>
                                <w:sz w:val="21"/>
                                <w:szCs w:val="21"/>
                              </w:rPr>
                              <w:t>componentes</w:t>
                            </w:r>
                            <w:r>
                              <w:rPr>
                                <w:rFonts w:cs="Arial" w:ascii="Arial" w:hAnsi="Arial"/>
                                <w:sz w:val="21"/>
                                <w:szCs w:val="21"/>
                              </w:rPr>
                              <w:t xml:space="preserve">pelo mesmo período de armazenamento que o dos registros.</w:t>
                            </w:r>
                          </w:p>
                          <w:p>
                            <w:pPr>
                              <w:pStyle w:val="Normal"/>
                              <w:snapToGrid w:val="false"/>
                              <w:spacing w:lineRule="atLeast" w:line="20"/>
                              <w:ind w:start="4" w:hanging="0"/>
                              <w:jc w:val="start"/>
                              <w:rPr>
                                <w:rFonts w:ascii="Arial" w:hAnsi="Arial" w:cs="Arial"/>
                                <w:sz w:val="21"/>
                                <w:szCs w:val="21"/>
                              </w:rPr>
                            </w:pPr>
                            <w:r>
                              <w:rPr>
                                <w:rFonts w:cs="Arial" w:ascii="Arial" w:hAnsi="Arial"/>
                                <w:sz w:val="21"/>
                                <w:szCs w:val="21"/>
                              </w:rPr>
                              <w:t xml:space="preserve">Para segurança crítica</w:t>
                            </w:r>
                            <w:r>
                              <w:rPr>
                                <w:rFonts w:cs="Arial" w:ascii="Arial" w:hAnsi="Arial"/>
                                <w:color w:val="00B0F0"/>
                                <w:sz w:val="21"/>
                                <w:szCs w:val="21"/>
                              </w:rPr>
                              <w:t>componentes</w:t>
                            </w:r>
                            <w:r>
                              <w:rPr>
                                <w:rFonts w:cs="Arial" w:ascii="Arial" w:hAnsi="Arial"/>
                                <w:sz w:val="21"/>
                                <w:szCs w:val="21"/>
                              </w:rPr>
                              <w:t>, resuma os itens de avaliação de revisão relacionados à segurança assumindo o tempo de fim de vida.</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Cada departamento responsável pelos testes deve realizar testes e resumir seus resultados.</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e o departamento de qualidade devem avaliar os resultados dos testes e revisar a necessidade de reavaliação e itens de confirmação adicionais. Além disso, a necessidade de aprimoramento de novos</w:t>
                            </w:r>
                            <w:r>
                              <w:rPr>
                                <w:rFonts w:cs="Arial" w:ascii="Arial" w:hAnsi="Arial"/>
                                <w:color w:val="00B0F0"/>
                                <w:sz w:val="21"/>
                                <w:szCs w:val="21"/>
                              </w:rPr>
                              <w:t>componentes</w:t>
                            </w:r>
                            <w:r>
                              <w:rPr>
                                <w:rFonts w:cs="Arial" w:ascii="Arial" w:hAnsi="Arial"/>
                                <w:sz w:val="21"/>
                                <w:szCs w:val="21"/>
                              </w:rPr>
                              <w:t>/materiais devem ser discutidos e novos testes e mudanças de especificação devem ser conduzidos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qualidade deve discutir com o departamento de design/desenvolvimento, departamento de compras e outros departamentos relacionados, implementar a autenticação do processo com base nos "Padrões de implementação de verificação do local de operação do fornecedor" (APQ-BP-005) e obter aprovação do chefe do Departamento de Qualidade.</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O departamento de design/desenvolvimento deve resumir os resultados da avaliação de novos</w:t>
                            </w:r>
                            <w:r>
                              <w:rPr>
                                <w:rFonts w:cs="Arial" w:ascii="Arial" w:hAnsi="Arial"/>
                                <w:color w:val="00B0F0"/>
                                <w:sz w:val="21"/>
                                <w:szCs w:val="21"/>
                              </w:rPr>
                              <w:t>componentes</w:t>
                            </w:r>
                            <w:r>
                              <w:rPr>
                                <w:rFonts w:cs="Arial" w:ascii="Arial" w:hAnsi="Arial"/>
                                <w:sz w:val="21"/>
                                <w:szCs w:val="21"/>
                              </w:rPr>
                              <w:t>/materiais, consulte o chefe do departamento de qualidade sobre autorização de aceitação e obtenha aprovação para autorização de aceitação do chefe do departamento de design/desenvolvimento.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Autorização de aceitação de novos</w:t>
                            </w:r>
                            <w:r>
                              <w:rPr>
                                <w:rFonts w:cs="Arial" w:ascii="Arial" w:hAnsi="Arial"/>
                                <w:color w:val="00B0F0"/>
                                <w:sz w:val="21"/>
                                <w:szCs w:val="21"/>
                              </w:rPr>
                              <w:t>componentes</w:t>
                            </w:r>
                            <w:r>
                              <w:rPr>
                                <w:rFonts w:cs="Arial" w:ascii="Arial" w:hAnsi="Arial"/>
                                <w:sz w:val="21"/>
                                <w:szCs w:val="21"/>
                              </w:rPr>
                              <w:t>/materials deve ocorrer antes de AQ0, em princípio, e por AQ1 no mínimo.</w:t>
                            </w:r>
                          </w:p>
                          <w:p>
                            <w:pPr>
                              <w:pStyle w:val="Normal"/>
                              <w:snapToGrid w:val="false"/>
                              <w:spacing w:lineRule="atLeast" w:line="20"/>
                              <w:jc w:val="start"/>
                              <w:rPr>
                                <w:rFonts w:ascii="Arial" w:hAnsi="Arial" w:cs="Arial"/>
                                <w:sz w:val="21"/>
                                <w:szCs w:val="21"/>
                              </w:rPr>
                            </w:pPr>
                            <w:r>
                              <w:rPr>
                                <w:rFonts w:cs="Arial" w:ascii="Arial" w:hAnsi="Arial"/>
                                <w:sz w:val="21"/>
                                <w:szCs w:val="21"/>
                              </w:rPr>
                              <w:t xml:space="preserve">Além disso, ao autorizar a aceitação de novos</w:t>
                            </w:r>
                            <w:r>
                              <w:rPr>
                                <w:rFonts w:cs="Arial" w:ascii="Arial" w:hAnsi="Arial"/>
                                <w:color w:val="00B0F0"/>
                                <w:sz w:val="21"/>
                                <w:szCs w:val="21"/>
                              </w:rPr>
                              <w:t>componentes</w:t>
                            </w:r>
                            <w:r>
                              <w:rPr>
                                <w:rFonts w:cs="Arial" w:ascii="Arial" w:hAnsi="Arial"/>
                                <w:sz w:val="21"/>
                                <w:szCs w:val="21"/>
                              </w:rPr>
                              <w:t>/materiais, a confirmação deve ser feita com o Gerente de Regulamento Técnico ou, no caso de segurança crítica</w:t>
                            </w:r>
                            <w:r>
                              <w:rPr>
                                <w:rFonts w:cs="Arial" w:ascii="Arial" w:hAnsi="Arial"/>
                                <w:color w:val="00B0F0"/>
                                <w:sz w:val="21"/>
                                <w:szCs w:val="21"/>
                              </w:rPr>
                              <w:t>componentes</w:t>
                            </w:r>
                            <w:r>
                              <w:rPr>
                                <w:rFonts w:cs="Arial" w:ascii="Arial" w:hAnsi="Arial"/>
                                <w:sz w:val="21"/>
                                <w:szCs w:val="21"/>
                              </w:rPr>
                              <w:t xml:space="preserve">, com o Gerente de Segurança do Produto.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rFonts w:ascii="Arial" w:hAnsi="Arial" w:cs="Arial"/>
                                <w:sz w:val="21"/>
                                <w:szCs w:val="21"/>
                              </w:rPr>
                            </w:pPr>
                            <w:r>
                              <w:rPr>
                                <w:rFonts w:cs="Arial" w:ascii="Arial" w:hAnsi="Arial"/>
                                <w:sz w:val="21"/>
                                <w:szCs w:val="21"/>
                              </w:rPr>
                              <w:t>Para novos</w:t>
                            </w:r>
                            <w:r>
                              <w:rPr>
                                <w:rFonts w:cs="Arial" w:ascii="Arial" w:hAnsi="Arial"/>
                                <w:color w:val="00B0F0"/>
                                <w:sz w:val="21"/>
                                <w:szCs w:val="21"/>
                              </w:rPr>
                              <w:t>componentes</w:t>
                            </w:r>
                            <w:r>
                              <w:rPr>
                                <w:rFonts w:cs="Arial" w:ascii="Arial" w:hAnsi="Arial"/>
                                <w:sz w:val="21"/>
                                <w:szCs w:val="21"/>
                              </w:rPr>
                              <w:t>/materiais, o departamento de design/desenvolvimento deve trocar as especificações de entrega com o fornecedor através do departamento de compras imediatamente após a aceitação de novos</w:t>
                            </w:r>
                            <w:r>
                              <w:rPr>
                                <w:rFonts w:cs="Arial" w:ascii="Arial" w:hAnsi="Arial"/>
                                <w:color w:val="00B0F0"/>
                                <w:sz w:val="21"/>
                                <w:szCs w:val="21"/>
                              </w:rPr>
                              <w:t>componentes</w:t>
                            </w:r>
                            <w:r>
                              <w:rPr>
                                <w:rFonts w:cs="Arial" w:ascii="Arial" w:hAnsi="Arial"/>
                                <w:sz w:val="21"/>
                                <w:szCs w:val="21"/>
                              </w:rPr>
                              <w:t>/materials foi autorizado. O chefe do departamento de design/desenvolvimento deve aprovar as especificações de entrega.</w:t>
                            </w:r>
                          </w:p>
                          <w:p>
                            <w:pPr>
                              <w:pStyle w:val="Normal"/>
                              <w:snapToGrid w:val="false"/>
                              <w:spacing w:lineRule="atLeast" w:line="20"/>
                              <w:jc w:val="start"/>
                              <w:rPr>
                                <w:sz w:val="21"/>
                                <w:szCs w:val="21"/>
                              </w:rPr>
                            </w:pPr>
                            <w:r>
                              <w:rPr>
                                <w:rFonts w:cs="Arial" w:ascii="Arial" w:hAnsi="Arial"/>
                                <w:sz w:val="21"/>
                                <w:szCs w:val="21"/>
                              </w:rPr>
                              <w:t>Além disso, os resultados dos testes do fornecedor, dados de análise de substâncias proibidas, gráficos de controle de processo, etc. devem ser obtidos, conforme necessário.</w:t>
                            </w:r>
                          </w:p>
                          <w:p>
                            <w:pPr>
                              <w:pStyle w:val="Normal"/>
                              <w:snapToGrid w:val="false"/>
                              <w:spacing w:lineRule="atLeast" w:line="20"/>
                              <w:jc w:val="start"/>
                              <w:rPr>
                                <w:rFonts w:ascii="Arial" w:hAnsi="Arial" w:cs="Arial"/>
                                <w:sz w:val="21"/>
                                <w:szCs w:val="21"/>
                              </w:rPr>
                            </w:pPr>
                            <w:r>
                              <w:rPr>
                                <w:rFonts w:cs="Arial" w:ascii="Arial" w:hAnsi="Arial"/>
                                <w:sz w:val="21"/>
                                <w:szCs w:val="21"/>
                              </w:rPr>
                            </w:r>
                          </w:p>
                          <w:p>
                            <w:pPr>
                              <w:pStyle w:val="Normal"/>
                              <w:snapToGrid w:val="false"/>
                              <w:spacing w:lineRule="atLeast" w:line="20"/>
                              <w:jc w:val="start"/>
                              <w:rPr>
                                <w:sz w:val="21"/>
                                <w:szCs w:val="21"/>
                              </w:rPr>
                            </w:pPr>
                            <w:r>
                              <w:rPr>
                                <w:rFonts w:cs="Arial" w:ascii="Arial" w:hAnsi="Arial"/>
                                <w:sz w:val="21"/>
                                <w:szCs w:val="21"/>
                              </w:rPr>
                              <w:t>Os registros relacionados a estes Padrões de Operação devem ser mantidos de acordo com os “Padrões de Controle de Documentos de Qualidade e Registros de Qualidade” (APQ-BG-001).</w:t>
                            </w:r>
                          </w:p>
                        </w:tc>
                      </w:tr>
                    </w:tbl>
                  </w:txbxContent>
                </v:textbox>
                <w10:wrap type="squar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4572000</wp:posOffset>
                </wp:positionH>
                <wp:positionV relativeFrom="paragraph">
                  <wp:posOffset>311785</wp:posOffset>
                </wp:positionV>
                <wp:extent cx="498475" cy="195580"/>
                <wp:effectExtent l="0" t="0" r="0" b="0"/>
                <wp:wrapNone/>
                <wp:docPr id="2" name="Frame1"/>
                <a:graphic xmlns:a="http://schemas.openxmlformats.org/drawingml/2006/main">
                  <a:graphicData uri="http://schemas.microsoft.com/office/word/2010/wordprocessingShape">
                    <wps:wsp>
                      <wps:cNvSpPr txBox="1"/>
                      <wps:spPr>
                        <a:xfrm>
                          <a:off x="0" y="0"/>
                          <a:ext cx="498475" cy="19558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1-3</w:t>
                            </w:r>
                          </w:p>
                        </w:txbxContent>
                      </wps:txbx>
                      <wps:bodyPr anchor="t" lIns="74930" tIns="9525" rIns="74930" bIns="9525">
                        <a:noAutofit/>
                      </wps:bodyPr>
                    </wps:wsp>
                  </a:graphicData>
                </a:graphic>
              </wp:anchor>
            </w:drawing>
          </mc:Choice>
          <mc:Fallback>
            <w:pict>
              <v:rect fillcolor="#FFFFFF" style="position:absolute;rotation:0;width:39.25pt;height:15.4pt;mso-wrap-distance-left:9.05pt;mso-wrap-distance-right:9.05pt;mso-wrap-distance-top:0pt;mso-wrap-distance-bottom:0pt;margin-top:24.55pt;mso-position-vertical-relative:text;margin-left:360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1-3</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4572000</wp:posOffset>
                </wp:positionH>
                <wp:positionV relativeFrom="paragraph">
                  <wp:posOffset>4445</wp:posOffset>
                </wp:positionV>
                <wp:extent cx="498475" cy="195580"/>
                <wp:effectExtent l="0" t="0" r="0" b="0"/>
                <wp:wrapNone/>
                <wp:docPr id="3" name="Frame2"/>
                <a:graphic xmlns:a="http://schemas.openxmlformats.org/drawingml/2006/main">
                  <a:graphicData uri="http://schemas.microsoft.com/office/word/2010/wordprocessingShape">
                    <wps:wsp>
                      <wps:cNvSpPr txBox="1"/>
                      <wps:spPr>
                        <a:xfrm>
                          <a:off x="0" y="0"/>
                          <a:ext cx="498475" cy="19558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1-3</w:t>
                            </w:r>
                          </w:p>
                        </w:txbxContent>
                      </wps:txbx>
                      <wps:bodyPr anchor="t" lIns="74930" tIns="9525" rIns="74930" bIns="9525">
                        <a:noAutofit/>
                      </wps:bodyPr>
                    </wps:wsp>
                  </a:graphicData>
                </a:graphic>
              </wp:anchor>
            </w:drawing>
          </mc:Choice>
          <mc:Fallback>
            <w:pict>
              <v:rect fillcolor="#FFFFFF" style="position:absolute;rotation:0;width:39.25pt;height:15.4pt;mso-wrap-distance-left:9.05pt;mso-wrap-distance-right:9.05pt;mso-wrap-distance-top:0pt;mso-wrap-distance-bottom:0pt;margin-top:0.35pt;mso-position-vertical-relative:text;margin-left:360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1-3</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4581525</wp:posOffset>
                </wp:positionH>
                <wp:positionV relativeFrom="paragraph">
                  <wp:posOffset>143510</wp:posOffset>
                </wp:positionV>
                <wp:extent cx="498475" cy="195580"/>
                <wp:effectExtent l="0" t="0" r="0" b="0"/>
                <wp:wrapNone/>
                <wp:docPr id="4" name="Frame3"/>
                <a:graphic xmlns:a="http://schemas.openxmlformats.org/drawingml/2006/main">
                  <a:graphicData uri="http://schemas.microsoft.com/office/word/2010/wordprocessingShape">
                    <wps:wsp>
                      <wps:cNvSpPr txBox="1"/>
                      <wps:spPr>
                        <a:xfrm>
                          <a:off x="0" y="0"/>
                          <a:ext cx="498475" cy="19558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1-3</w:t>
                            </w:r>
                          </w:p>
                        </w:txbxContent>
                      </wps:txbx>
                      <wps:bodyPr anchor="t" lIns="74930" tIns="9525" rIns="74930" bIns="9525">
                        <a:noAutofit/>
                      </wps:bodyPr>
                    </wps:wsp>
                  </a:graphicData>
                </a:graphic>
              </wp:anchor>
            </w:drawing>
          </mc:Choice>
          <mc:Fallback>
            <w:pict>
              <v:rect fillcolor="#FFFFFF" style="position:absolute;rotation:0;width:39.25pt;height:15.4pt;mso-wrap-distance-left:9.05pt;mso-wrap-distance-right:9.05pt;mso-wrap-distance-top:0pt;mso-wrap-distance-bottom:0pt;margin-top:11.3pt;mso-position-vertical-relative:text;margin-left:360.75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1-3</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ＭＳ Ｐゴシック">
    <w:charset w:val="8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40780" cy="388620"/>
              <wp:effectExtent l="0" t="0" r="0" b="0"/>
              <wp:wrapNone/>
              <wp:docPr id="5" name="Frame5"/>
              <a:graphic xmlns:a="http://schemas.openxmlformats.org/drawingml/2006/main">
                <a:graphicData uri="http://schemas.microsoft.com/office/word/2010/wordprocessingShape">
                  <wps:wsp>
                    <wps:cNvSpPr txBox="1"/>
                    <wps:spPr>
                      <a:xfrm>
                        <a:off x="0" y="0"/>
                        <a:ext cx="6240780" cy="388620"/>
                      </a:xfrm>
                      <a:prstGeom prst="rect"/>
                      <a:solidFill>
                        <a:srgbClr val="FFFFFF"/>
                      </a:solidFill>
                    </wps:spPr>
                    <wps:txbx>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 xml:space="preserve">Padrões de Operação de Aprovação de Novos Componentes e Novos Materiais</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APQ–BD-013</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w:t>
                                  <w:tab/>
                                </w:r>
                                <w:r>
                                  <w:rPr>
                                    <w:rFonts w:cs="Arial" w:ascii="Arial" w:hAnsi="Arial"/>
                                    <w:sz w:val="21"/>
                                    <w:szCs w:val="21"/>
                                  </w:rPr>
                                  <w:t>-3</w:t>
                                </w:r>
                              </w:p>
                            </w:tc>
                          </w:tr>
                        </w:tbl>
                      </w:txbxContent>
                    </wps:txbx>
                    <wps:bodyPr anchor="t" lIns="0" tIns="0" rIns="0" bIns="0">
                      <a:noAutofit/>
                    </wps:bodyPr>
                  </wps:wsp>
                </a:graphicData>
              </a:graphic>
            </wp:anchor>
          </w:drawing>
        </mc:Choice>
        <mc:Fallback>
          <w:pict>
            <v:rect style="position:absolute;rotation:0;width:491.4pt;height:30.6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 xml:space="preserve">Padrões de Operação de Aprovação de Novos Componentes e Novos Materiais</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APQ–BD-013</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w:t>
                            <w:tab/>
                          </w:r>
                          <w:r>
                            <w:rPr>
                              <w:rFonts w:cs="Arial" w:ascii="Arial" w:hAnsi="Arial"/>
                              <w:sz w:val="21"/>
                              <w:szCs w:val="21"/>
                            </w:rPr>
                            <w:t>-3</w:t>
                          </w:r>
                        </w:p>
                      </w:tc>
                    </w:tr>
                  </w:tbl>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decimal"/>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numFmt w:val="bullet"/>
      <w:lvlText w:val="・"/>
      <w:lvlJc w:val="start"/>
      <w:pPr>
        <w:tabs>
          <w:tab w:val="num" w:pos="417"/>
        </w:tabs>
        <w:ind w:start="417" w:hanging="360"/>
      </w:pPr>
      <w:rPr>
        <w:rFonts w:ascii="ＭＳ 明朝" w:hAnsi="ＭＳ 明朝" w:cs="ＭＳ 明朝" w:hint="default"/>
      </w:rPr>
    </w:lvl>
  </w:abstractNum>
  <w:abstractNum w:abstractNumId="3">
    <w:lvl w:ilvl="0">
      <w:start w:val="1"/>
      <w:numFmt w:val="decimal"/>
      <w:lvlText w:val="(%1)"/>
      <w:lvlJc w:val="start"/>
      <w:pPr>
        <w:tabs>
          <w:tab w:val="num" w:pos="720"/>
        </w:tabs>
        <w:ind w:start="720" w:hanging="360"/>
      </w:pPr>
      <w:rPr>
        <w:sz w:val="21"/>
        <w:szCs w:val="21"/>
        <w:rFonts w:ascii="Arial" w:hAnsi="Arial" w:cs="Arial"/>
        <w:color w:val="000000"/>
      </w:rPr>
    </w:lvl>
  </w:abstractNum>
  <w:abstractNum w:abstractNumId="4">
    <w:lvl w:ilvl="0">
      <w:start w:val="1"/>
      <w:numFmt w:val="lowerLetter"/>
      <w:lvlText w:val="(%1)"/>
      <w:lvlJc w:val="start"/>
      <w:pPr>
        <w:tabs>
          <w:tab w:val="num" w:pos="406"/>
        </w:tabs>
        <w:ind w:start="406" w:hanging="360"/>
      </w:pPr>
      <w:rPr>
        <w:rFonts w:cs="Arial"/>
        <w:color w:val="000000"/>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ＭＳ 明朝;MS Mincho" w:hAnsi="ＭＳ 明朝;MS Mincho" w:eastAsia="ＭＳ 明朝;MS Mincho"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Arial" w:hAnsi="Arial" w:cs="Arial"/>
      <w:color w:val="000000"/>
      <w:sz w:val="21"/>
      <w:szCs w:val="21"/>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Arial"/>
      <w:color w:val="00000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Style14">
    <w:name w:val="段落フォント"/>
    <w:qFormat/>
    <w:rPr/>
  </w:style>
  <w:style w:type="character" w:styleId="Style15">
    <w:name w:val="コメント参照"/>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6">
    <w:name w:val="吹き出し"/>
    <w:basedOn w:val="Normal"/>
    <w:qFormat/>
    <w:pPr/>
    <w:rPr>
      <w:rFonts w:ascii="Arial" w:hAnsi="Arial" w:eastAsia="ＭＳ ゴシック;MS Gothic" w:cs="Arial"/>
      <w:sz w:val="18"/>
      <w:szCs w:val="18"/>
    </w:rPr>
  </w:style>
  <w:style w:type="paragraph" w:styleId="Style17">
    <w:name w:val="コメント文字列"/>
    <w:basedOn w:val="Normal"/>
    <w:qFormat/>
    <w:pPr>
      <w:jc w:val="start"/>
    </w:pPr>
    <w:rPr/>
  </w:style>
  <w:style w:type="paragraph" w:styleId="Style18">
    <w:name w:val="コメント内容"/>
    <w:basedOn w:val="Style17"/>
    <w:next w:val="Style17"/>
    <w:qFormat/>
    <w:pPr/>
    <w:rPr>
      <w:b/>
      <w:bCs/>
    </w:rPr>
  </w:style>
  <w:style w:type="paragraph" w:styleId="Web">
    <w:name w:val="標準 (Web)"/>
    <w:basedOn w:val="Normal"/>
    <w:qFormat/>
    <w:pPr>
      <w:widowControl/>
      <w:spacing w:before="280" w:after="280"/>
      <w:jc w:val="start"/>
    </w:pPr>
    <w:rPr>
      <w:rFonts w:ascii="ＭＳ Ｐゴシック" w:hAnsi="ＭＳ Ｐゴシック" w:eastAsia="ＭＳ Ｐゴシック" w:cs="ＭＳ Ｐゴシック"/>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2019-04-24T08:33:00Z</dcterms:created>
  <dc:creator>TERADA_Haruhiro_terada.haruhiro@jp.panasonic.com</dc:creator>
  <dc:description/>
  <cp:keywords> </cp:keywords>
  <dc:language>en-US</dc:language>
  <cp:lastModifiedBy>Yamada Yoshihisa (山田 芳久)</cp:lastModifiedBy>
  <cp:lastPrinted>2013-01-25T16:47:00Z</cp:lastPrinted>
  <dcterms:modified xsi:type="dcterms:W3CDTF">2019-04-26T06:07:00Z</dcterms:modified>
  <cp:revision>7</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61x">
    <vt:lpwstr>2.00000000000000</vt:lpwstr>
  </property>
</Properties>
</file>