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!--  bidi  --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  <!-- rtl --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Traduzido do Inglês para o Português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!-- rtl -->
                          </w:rPr>
                          <w:t xml:space="preserve">Traduzido do Inglês para o Português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>
      <w:pPr>
        <w:pStyle w:val="Normal"/>
        <w:spacing w:lineRule="auto" w:line="300"/>
        <w:ind w:start="2310" w:hanging="2310"/>
        <w:rPr/>
      </w:pPr>
      <w:r>
        <w:rPr/>
      </w:r>
      <w:r>
        <mc:AlternateContent>
          <mc:Choice Requires="wps">
            <w:drawing>
              <wp:anchor behindDoc="0" distT="0" distB="0" distL="0" distR="90170" simplePos="0" locked="0" layoutInCell="0" allowOverlap="1" relativeHeight="3">
                <wp:simplePos x="0" y="0"/>
                <wp:positionH relativeFrom="column">
                  <wp:posOffset>-78105</wp:posOffset>
                </wp:positionH>
                <wp:positionV relativeFrom="paragraph">
                  <wp:posOffset>635</wp:posOffset>
                </wp:positionV>
                <wp:extent cx="6234430" cy="1069213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4430" cy="106921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9818" w:type="dxa"/>
                              <w:jc w:val="start"/>
                              <w:tblInd w:w="-15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2264"/>
                              <w:gridCol w:w="7554"/>
                            </w:tblGrid>
                            <w:tr>
                              <w:trPr>
                                <w:trHeight w:val="14915" w:hRule="atLeast"/>
                              </w:trPr>
                              <w:tc>
                                <w:tcPr>
                                  <w:tcW w:w="2264" w:type="dxa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12" w:space="0" w:color="000000"/>
                                    <w:end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  <w:bookmarkStart w:id="0" w:name="OLE_LINK4"/>
                                  <w:bookmarkStart w:id="1" w:name="OLE_LINK3"/>
                                  <w:bookmarkStart w:id="2" w:name="OLE_LINK4"/>
                                  <w:bookmarkStart w:id="3" w:name="OLE_LINK3"/>
                                  <w:bookmarkEnd w:id="2"/>
                                  <w:bookmarkEnd w:id="3"/>
                                </w:p>
                                <w:p>
                                  <w:pPr>
                                    <w:pStyle w:val="11"/>
                                    <w:rPr/>
                                  </w:pPr>
                                  <w:r>
                                    <w:rPr/>
                                    <w:t>1. Propósito</w:t>
                                    <w:tab/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szCs w:val="20"/>
                                      <w:lang w:eastAsia="ja-JP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szCs w:val="20"/>
                                      <w:lang w:eastAsia="ja-JP"/>
                                    </w:rPr>
                                  </w:r>
                                </w:p>
                                <w:p>
                                  <w:pPr>
                                    <w:pStyle w:val="11"/>
                                    <w:rPr/>
                                  </w:pPr>
                                  <w:r>
                                    <w:rPr/>
                                    <w:t>2. Âmbito</w:t>
                                    <w:tab/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szCs w:val="20"/>
                                      <w:lang w:eastAsia="ja-JP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szCs w:val="20"/>
                                      <w:lang w:eastAsia="ja-JP"/>
                                    </w:rPr>
                                  </w:r>
                                </w:p>
                                <w:p>
                                  <w:pPr>
                                    <w:pStyle w:val="11"/>
                                    <w:rPr/>
                                  </w:pPr>
                                  <w:r>
                                    <w:rPr/>
                                    <w:t>3. Estabelecimento, revisão</w:t>
                                    <w:tab/>
                                  </w:r>
                                  <w:r>
                                    <w:rPr/>
                                    <w:t>/revogação e promulgação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11"/>
                                    <w:rPr/>
                                  </w:pPr>
                                  <w:r>
                                    <w:rPr/>
                                    <w:t>4.Definições</w:t>
                                    <w:tab/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szCs w:val="20"/>
                                      <w:lang w:eastAsia="ja-JP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szCs w:val="20"/>
                                      <w:lang w:eastAsia="ja-JP"/>
                                    </w:rPr>
                                  </w:r>
                                </w:p>
                                <w:p>
                                  <w:pPr>
                                    <w:pStyle w:val="11"/>
                                    <w:rPr/>
                                  </w:pPr>
                                  <w:r>
                                    <w:rPr/>
                                    <w:t>5.Operacional</w:t>
                                    <w:tab/>
                                  </w:r>
                                  <w:r>
                                    <w:rPr/>
                                    <w:t>procedimentos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111"/>
                                    <w:rPr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5.1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Colocação do pedido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color w:val="00000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szCs w:val="20"/>
                                      <w:lang w:eastAsia="ja-JP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szCs w:val="20"/>
                                      <w:lang w:eastAsia="ja-JP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szCs w:val="20"/>
                                      <w:lang w:eastAsia="ja-JP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szCs w:val="20"/>
                                      <w:lang w:eastAsia="ja-JP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szCs w:val="20"/>
                                      <w:lang w:eastAsia="ja-JP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szCs w:val="20"/>
                                      <w:lang w:eastAsia="ja-JP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szCs w:val="20"/>
                                      <w:lang w:eastAsia="ja-JP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szCs w:val="20"/>
                                      <w:lang w:eastAsia="ja-JP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16"/>
                                    <w:rPr>
                                      <w:szCs w:val="20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szCs w:val="20"/>
                                      <w:lang w:eastAsia="ja-JP"/>
                                    </w:rPr>
                                  </w:r>
                                </w:p>
                                <w:p>
                                  <w:pPr>
                                    <w:pStyle w:val="111"/>
                                    <w:rPr>
                                      <w:color w:val="000000"/>
                                    </w:rPr>
                                  </w:pPr>
                                  <w:bookmarkStart w:id="4" w:name="OLE_LINK18"/>
                                  <w:bookmarkStart w:id="5" w:name="OLE_LINK17"/>
                                  <w:bookmarkEnd w:id="4"/>
                                  <w:bookmarkEnd w:id="5"/>
                                  <w:r>
                                    <w:rPr>
                                      <w:color w:val="000000"/>
                                    </w:rPr>
                                    <w:t>5.1.1 Alterações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color w:val="00000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Cs w:val="20"/>
                                    </w:rPr>
                                  </w:r>
                                  <w:bookmarkStart w:id="6" w:name="OLE_LINK18"/>
                                  <w:bookmarkStart w:id="7" w:name="OLE_LINK17"/>
                                  <w:bookmarkStart w:id="8" w:name="OLE_LINK18"/>
                                  <w:bookmarkStart w:id="9" w:name="OLE_LINK17"/>
                                  <w:bookmarkEnd w:id="8"/>
                                  <w:bookmarkEnd w:id="9"/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szCs w:val="20"/>
                                      <w:lang w:eastAsia="ja-JP"/>
                                    </w:rPr>
                                  </w:r>
                                  <w:bookmarkStart w:id="10" w:name="OLE_LINK10"/>
                                  <w:bookmarkStart w:id="11" w:name="OLE_LINK9"/>
                                  <w:bookmarkStart w:id="12" w:name="OLE_LINK10"/>
                                  <w:bookmarkStart w:id="13" w:name="OLE_LINK9"/>
                                </w:p>
                                <w:p>
                                  <w:pPr>
                                    <w:pStyle w:val="111"/>
                                    <w:rPr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5.2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Operação de fornecimento de peças</w:t>
                                  </w:r>
                                  <w:bookmarkEnd w:id="12"/>
                                  <w:bookmarkEnd w:id="13"/>
                                </w:p>
                                <w:p>
                                  <w:pPr>
                                    <w:pStyle w:val="Normal"/>
                                    <w:rPr>
                                      <w:color w:val="00000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szCs w:val="20"/>
                                      <w:lang w:eastAsia="ja-JP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szCs w:val="20"/>
                                      <w:lang w:eastAsia="ja-JP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szCs w:val="20"/>
                                      <w:lang w:eastAsia="ja-JP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szCs w:val="20"/>
                                      <w:lang w:eastAsia="ja-JP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szCs w:val="20"/>
                                      <w:lang w:eastAsia="ja-JP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szCs w:val="20"/>
                                      <w:lang w:eastAsia="ja-JP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szCs w:val="20"/>
                                      <w:lang w:eastAsia="ja-JP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szCs w:val="20"/>
                                      <w:lang w:eastAsia="ja-JP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76"/>
                                    <w:rPr>
                                      <w:szCs w:val="20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szCs w:val="20"/>
                                      <w:lang w:eastAsia="ja-JP"/>
                                    </w:rPr>
                                  </w:r>
                                </w:p>
                                <w:p>
                                  <w:pPr>
                                    <w:pStyle w:val="111"/>
                                    <w:rPr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5.3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Controle de entrega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color w:val="00000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szCs w:val="20"/>
                                      <w:lang w:eastAsia="ja-JP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szCs w:val="20"/>
                                      <w:lang w:eastAsia="ja-JP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szCs w:val="20"/>
                                      <w:lang w:eastAsia="ja-JP"/>
                                    </w:rPr>
                                  </w:r>
                                </w:p>
                                <w:p>
                                  <w:pPr>
                                    <w:pStyle w:val="111"/>
                                    <w:rPr/>
                                  </w:pPr>
                                  <w:bookmarkStart w:id="14" w:name="OLE_LINK20"/>
                                  <w:bookmarkStart w:id="15" w:name="OLE_LINK19"/>
                                  <w:r>
                                    <w:rPr>
                                      <w:color w:val="000000"/>
                                    </w:rPr>
                                    <w:t>5.4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Mercadorias devolvidas</w:t>
                                  </w:r>
                                  <w:bookmarkEnd w:id="14"/>
                                  <w:bookmarkEnd w:id="15"/>
                                </w:p>
                                <w:p>
                                  <w:pPr>
                                    <w:pStyle w:val="Normal"/>
                                    <w:rPr>
                                      <w:color w:val="00000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szCs w:val="20"/>
                                      <w:lang w:eastAsia="ja-JP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szCs w:val="20"/>
                                      <w:lang w:eastAsia="ja-JP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szCs w:val="20"/>
                                      <w:lang w:eastAsia="ja-JP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  <w:bookmarkStart w:id="16" w:name="OLE_LINK22"/>
                                  <w:bookmarkStart w:id="17" w:name="OLE_LINK21"/>
                                  <w:bookmarkStart w:id="18" w:name="OLE_LINK22"/>
                                  <w:bookmarkStart w:id="19" w:name="OLE_LINK21"/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szCs w:val="20"/>
                                      <w:lang w:eastAsia="ja-JP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szCs w:val="20"/>
                                      <w:lang w:eastAsia="ja-JP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szCs w:val="20"/>
                                      <w:lang w:eastAsia="ja-JP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szCs w:val="20"/>
                                      <w:lang w:eastAsia="ja-JP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szCs w:val="20"/>
                                      <w:lang w:eastAsia="ja-JP"/>
                                    </w:rPr>
                                  </w:r>
                                </w:p>
                                <w:p>
                                  <w:pPr>
                                    <w:pStyle w:val="111"/>
                                    <w:rPr/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5,5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Processo de pagamento</w:t>
                                  </w:r>
                                  <w:bookmarkEnd w:id="18"/>
                                  <w:bookmarkEnd w:id="19"/>
                                </w:p>
                                <w:p>
                                  <w:pPr>
                                    <w:pStyle w:val="Normal"/>
                                    <w:rPr>
                                      <w:color w:val="00000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Cs w:val="20"/>
                                    </w:rPr>
                                  </w:r>
                                  <w:bookmarkStart w:id="20" w:name="OLE_LINK14"/>
                                  <w:bookmarkStart w:id="21" w:name="OLE_LINK13"/>
                                  <w:bookmarkStart w:id="22" w:name="OLE_LINK14"/>
                                  <w:bookmarkStart w:id="23" w:name="OLE_LINK13"/>
                                  <w:bookmarkEnd w:id="22"/>
                                  <w:bookmarkEnd w:id="23"/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szCs w:val="20"/>
                                      <w:lang w:eastAsia="ja-JP"/>
                                    </w:rPr>
                                  </w:r>
                                </w:p>
                                <w:p>
                                  <w:pPr>
                                    <w:pStyle w:val="111"/>
                                    <w:rPr/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5.6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Controle de materiais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color w:val="00000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Cs w:val="20"/>
                                    </w:rPr>
                                  </w:r>
                                  <w:bookmarkStart w:id="24" w:name="OLE_LINK14"/>
                                  <w:bookmarkStart w:id="25" w:name="OLE_LINK13"/>
                                  <w:bookmarkStart w:id="26" w:name="OLE_LINK14"/>
                                  <w:bookmarkStart w:id="27" w:name="OLE_LINK13"/>
                                  <w:bookmarkEnd w:id="26"/>
                                  <w:bookmarkEnd w:id="27"/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szCs w:val="20"/>
                                      <w:lang w:eastAsia="ja-JP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szCs w:val="20"/>
                                      <w:lang w:eastAsia="ja-JP"/>
                                    </w:rPr>
                                  </w:r>
                                </w:p>
                                <w:p>
                                  <w:pPr>
                                    <w:pStyle w:val="111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5.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>7Controle do histórico de compras</w:t>
                                    <w:tab/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color w:val="FF000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szCs w:val="20"/>
                                      <w:lang w:eastAsia="ja-JP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szCs w:val="20"/>
                                      <w:lang w:eastAsia="ja-JP"/>
                                    </w:rPr>
                                  </w:r>
                                </w:p>
                                <w:p>
                                  <w:pPr>
                                    <w:pStyle w:val="11"/>
                                    <w:rPr/>
                                  </w:pPr>
                                  <w:r>
                                    <w:rPr/>
                                    <w:t>6. Retenção de</w:t>
                                    <w:tab/>
                                  </w:r>
                                  <w:r>
                                    <w:rPr/>
                                    <w:t>registros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szCs w:val="20"/>
                                      <w:lang w:eastAsia="ja-JP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szCs w:val="20"/>
                                      <w:lang w:eastAsia="ja-JP"/>
                                    </w:rPr>
                                  </w:r>
                                </w:p>
                                <w:p>
                                  <w:pPr>
                                    <w:pStyle w:val="11"/>
                                    <w:rPr/>
                                  </w:pPr>
                                  <w:r>
                                    <w:rPr/>
                                    <w:t>7. Outros</w:t>
                                    <w:tab/>
                                  </w:r>
                                </w:p>
                                <w:p>
                                  <w:pPr>
                                    <w:pStyle w:val="11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11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11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11"/>
                                    <w:rPr/>
                                  </w:pPr>
                                  <w:r>
                                    <w:rPr>
                                      <w:color w:val="FF0000"/>
                                    </w:rPr>
                                    <w:t>8.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ab/>
                                  </w:r>
                                  <w:r>
                                    <w:rPr>
                                      <w:color w:val="FF0000"/>
                                    </w:rPr>
                                    <w:t>Documentos relacionados</w:t>
                                  </w:r>
                                </w:p>
                              </w:tc>
                              <w:tc>
                                <w:tcPr>
                                  <w:tcW w:w="7554" w:type="dxa"/>
                                  <w:tcBorders>
                                    <w:top w:val="single" w:sz="12" w:space="0" w:color="000000"/>
                                    <w:start w:val="single" w:sz="8" w:space="0" w:color="000000"/>
                                    <w:bottom w:val="single" w:sz="12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FF000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  <w:t xml:space="preserve">O objetivo destas Normas é garantir que as operações de compra de materiais e produtos de processos terceirizados sejam realizadas sem problemas de acordo com as “Regras de Controle de Aquisição” (APQ-AP-001) da Panasonic Corporation's Appliances Company (doravante denominada “AP” ).</w:t>
                                  </w:r>
                                  <w:bookmarkStart w:id="28" w:name="OLE_LINK74"/>
                                  <w:bookmarkStart w:id="29" w:name="OLE_LINK79"/>
                                  <w:bookmarkStart w:id="30" w:name="OLE_LINK82"/>
                                  <w:bookmarkStart w:id="31" w:name="OLE_LINK83"/>
                                  <w:bookmarkEnd w:id="28"/>
                                  <w:bookmarkEnd w:id="29"/>
                                  <w:bookmarkEnd w:id="30"/>
                                  <w:bookmarkEnd w:id="31"/>
                                </w:p>
                                <w:p>
                                  <w:pPr>
                                    <w:pStyle w:val="Normal"/>
                                    <w:ind w:firstLine="4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  <w:t>Essas Normas se aplicam a todos os materiais e produtos de processos terceirizados que são consumidos na fabricação dos produtos da AP.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  <w:t>Esses Padrões devem ser formulados, revisados ​​ou revogados pelo funcionário da AP responsável por aquisições e publicados pelo Diretor do Centro Global de Aquisições (doravante denominado "Diretor GPC").</w:t>
                                  </w:r>
                                  <w:bookmarkStart w:id="32" w:name="OLE_LINK52"/>
                                  <w:bookmarkStart w:id="33" w:name="OLE_LINK53"/>
                                  <w:bookmarkEnd w:id="32"/>
                                  <w:bookmarkEnd w:id="33"/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szCs w:val="20"/>
                                      <w:lang w:eastAsia="ja-JP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  <w:t xml:space="preserve">Termos e definições diferentes dos especificados abaixo estão de acordo com os especificados em outras normas.</w:t>
                                  </w:r>
                                </w:p>
                                <w:p>
                                  <w:pPr>
                                    <w:pStyle w:val="1"/>
                                    <w:rPr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(1)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Sistema de produção</w:t>
                                  </w:r>
                                </w:p>
                                <w:p>
                                  <w:pPr>
                                    <w:pStyle w:val="1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/>
                                    </w:rPr>
                                    <w:t>Refere-se a um sistema para realizar o planejamento de produção sem problemas, colocação de pedidos e controle de estoque.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>O sistema de produção da AP é construído por cada divisão.</w:t>
                                  </w:r>
                                </w:p>
                                <w:p>
                                  <w:pPr>
                                    <w:pStyle w:val="1"/>
                                    <w:rPr/>
                                  </w:pPr>
                                  <w:r>
                                    <w:rPr>
                                      <w:color w:val="000000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/>
                                    </w:rPr>
                                    <w:t>(Cada um deve ser usado de acordo com o manual de instruções do sistema individual.)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color w:val="00000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1"/>
                                    <w:rPr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(2)</w:t>
                                  </w:r>
                                  <w:bookmarkStart w:id="34" w:name="OLE_LINK6"/>
                                  <w:bookmarkStart w:id="35" w:name="OLE_LINK5"/>
                                  <w:r>
                                    <w:rPr>
                                      <w:color w:val="000000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/>
                                    </w:rPr>
                                    <w:t>MRP (Planejamento de Requisitos de Materiais)</w:t>
                                  </w:r>
                                  <w:bookmarkEnd w:id="34"/>
                                  <w:bookmarkEnd w:id="35"/>
                                </w:p>
                                <w:p>
                                  <w:pPr>
                                    <w:pStyle w:val="1"/>
                                    <w:rPr/>
                                  </w:pPr>
                                  <w:r>
                                    <w:rPr>
                                      <w:color w:val="000000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/>
                                    </w:rPr>
                                    <w:t>Refere-se ao planejamento de arranjos para a quantidade necessária de materiais.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color w:val="00000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  <w:t>Os procedimentos da operação de compras devem estar de acordo com o Fluxograma Operacional (Anexo 1). Como diferentes divisões usam sistemas de produção diferentes, as Operações de Compras diferentes das listadas abaixo podem ser implementadas com base nas Regras de cada divisão.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  <w:bookmarkStart w:id="36" w:name="OLE_LINK2"/>
                                  <w:bookmarkStart w:id="37" w:name="OLE_LINK1"/>
                                  <w:bookmarkStart w:id="38" w:name="OLE_LINK2"/>
                                  <w:bookmarkStart w:id="39" w:name="OLE_LINK1"/>
                                  <w:bookmarkEnd w:id="38"/>
                                  <w:bookmarkEnd w:id="39"/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bookmarkStart w:id="40" w:name="OLE_LINK43"/>
                                  <w:bookmarkStart w:id="41" w:name="OLE_LINK42"/>
                                  <w:bookmarkStart w:id="42" w:name="OLE_LINK16"/>
                                  <w:bookmarkStart w:id="43" w:name="OLE_LINK15"/>
                                  <w:bookmarkEnd w:id="40"/>
                                  <w:bookmarkEnd w:id="41"/>
                                  <w:r>
                                    <w:rPr/>
                                    <w:t xml:space="preserve">Os membros da equipe de compras da divisão (membros da equipe de controle de produção da divisão) executam os seguintes procedimentos de colocação de pedidos.</w:t>
                                  </w:r>
                                  <w:bookmarkStart w:id="44" w:name="OLE_LINK29"/>
                                  <w:bookmarkStart w:id="45" w:name="OLE_LINK28"/>
                                  <w:bookmarkEnd w:id="42"/>
                                  <w:bookmarkEnd w:id="43"/>
                                  <w:bookmarkEnd w:id="44"/>
                                  <w:bookmarkEnd w:id="45"/>
                                </w:p>
                                <w:p>
                                  <w:pPr>
                                    <w:pStyle w:val="1"/>
                                    <w:rPr/>
                                  </w:pPr>
                                  <w:bookmarkStart w:id="46" w:name="OLE_LINK2"/>
                                  <w:bookmarkStart w:id="47" w:name="OLE_LINK1"/>
                                  <w:bookmarkStart w:id="48" w:name="OLE_LINK43"/>
                                  <w:bookmarkStart w:id="49" w:name="OLE_LINK42"/>
                                  <w:bookmarkEnd w:id="46"/>
                                  <w:bookmarkEnd w:id="47"/>
                                  <w:bookmarkEnd w:id="48"/>
                                  <w:bookmarkEnd w:id="49"/>
                                  <w:r>
                                    <w:rPr>
                                      <w:color w:val="000000"/>
                                    </w:rPr>
                                    <w:t>(1)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De acordo com o plano de produção, insira as informações de produção (nome do modelo, quantidade, cronograma, etc.) no sistema de produção.</w:t>
                                  </w:r>
                                </w:p>
                                <w:p>
                                  <w:pPr>
                                    <w:pStyle w:val="1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  <w:p>
                                  <w:pPr>
                                    <w:pStyle w:val="1"/>
                                    <w:rPr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(2)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Os pedidos calculados para MRP no sistema de produção para fornecedores individuais devem ser confirmados primeiro pelos membros da equipe de compras e depois aprovados pelo gerente do departamento de compras antes de fazer pedidos aos fornecedores.</w:t>
                                  </w:r>
                                </w:p>
                                <w:p>
                                  <w:pPr>
                                    <w:pStyle w:val="1"/>
                                    <w:ind w:start="854" w:hanging="484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a) O pedido deve conter os seguintes itens.</w:t>
                                  </w:r>
                                </w:p>
                                <w:p>
                                  <w:pPr>
                                    <w:pStyle w:val="1"/>
                                    <w:ind w:start="1138" w:hanging="342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1)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Data do pedido, 2) Nº do pedido, 3) Nome do fornecedor, 4) Departamento de pedidos e nome do pedido, 5) Nº de peça. e nome, 6) Preço unitário, quantidade, valor 7) Data de entrega, 8) Local de entrega,</w:t>
                                  </w:r>
                                </w:p>
                                <w:p>
                                  <w:pPr>
                                    <w:pStyle w:val="1"/>
                                    <w:ind w:start="1138" w:hanging="342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9)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Classificação das peças fornecidas (Sem peças fornecidas, Pago, Sem carga, Mistura),</w:t>
                                  </w:r>
                                  <w:bookmarkStart w:id="50" w:name="OLE_LINK31"/>
                                  <w:bookmarkStart w:id="51" w:name="OLE_LINK30"/>
                                </w:p>
                                <w:p>
                                  <w:pPr>
                                    <w:pStyle w:val="1"/>
                                    <w:ind w:start="1138" w:hanging="342"/>
                                    <w:rPr>
                                      <w:rFonts w:cs="MS-PGothic;Arial Unicode MS"/>
                                      <w:color w:val="000000"/>
                                    </w:rPr>
                                  </w:pPr>
                                  <w:bookmarkEnd w:id="50"/>
                                  <w:bookmarkEnd w:id="51"/>
                                  <w:r>
                                    <w:rPr>
                                      <w:color w:val="000000"/>
                                    </w:rPr>
                                    <w:t>10)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redação do imposto de consumo,</w:t>
                                  </w:r>
                                </w:p>
                                <w:p>
                                  <w:pPr>
                                    <w:pStyle w:val="1"/>
                                    <w:ind w:start="1138" w:hanging="342"/>
                                    <w:rPr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11)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/>
                                    </w:rPr>
                                    <w:t>Tipo o1 inspeção de entrada (100%, Amostragem, Sem teste, Sem teste),</w:t>
                                  </w:r>
                                </w:p>
                                <w:p>
                                  <w:pPr>
                                    <w:pStyle w:val="1"/>
                                    <w:ind w:start="1138" w:hanging="342"/>
                                    <w:rPr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12)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Limite de tempo de conclusão da inspeção quando a inspeção de entrada for necessária,</w:t>
                                  </w:r>
                                </w:p>
                                <w:p>
                                  <w:pPr>
                                    <w:pStyle w:val="1"/>
                                    <w:ind w:start="1138" w:hanging="342"/>
                                    <w:rPr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13)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ab/>
                                    <w:t>P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termos de pagamento (data de fechamento, data de pagamento, forma de pagamento),</w:t>
                                  </w:r>
                                </w:p>
                                <w:p>
                                  <w:pPr>
                                    <w:pStyle w:val="1"/>
                                    <w:ind w:start="1138" w:hanging="342"/>
                                    <w:rPr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14)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Vencimentos de contas a pagar e uma porcentagem de liquidações de contas versus pagamento em dinheiro quando as transações de contas são usadas,</w:t>
                                  </w:r>
                                </w:p>
                                <w:p>
                                  <w:pPr>
                                    <w:pStyle w:val="1"/>
                                    <w:ind w:start="1138" w:hanging="342"/>
                                    <w:rPr/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15) Quando estiverem envolvidos materiais de fornecimento pagos, nome da peça, quantidade, preço unitário, valor, data de fornecimento, data de liquidação e método.</w:t>
                                  </w:r>
                                </w:p>
                                <w:p>
                                  <w:pPr>
                                    <w:pStyle w:val="1"/>
                                    <w:ind w:start="854" w:hanging="484"/>
                                    <w:rPr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b)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Peças de arranjo prévio e peças de estoque devem ser solicitadas após uma aquisição de aprovação de acordo com as "Regras de aprovação da empresa AP" (versão mais recente).</w:t>
                                  </w:r>
                                  <w:bookmarkStart w:id="52" w:name="OLE_LINK27"/>
                                  <w:bookmarkStart w:id="53" w:name="OLE_LINK26"/>
                                  <w:bookmarkStart w:id="54" w:name="OLE_LINK25"/>
                                  <w:bookmarkEnd w:id="52"/>
                                  <w:bookmarkEnd w:id="53"/>
                                  <w:bookmarkEnd w:id="54"/>
                                </w:p>
                                <w:p>
                                  <w:pPr>
                                    <w:pStyle w:val="Normal"/>
                                    <w:rPr>
                                      <w:color w:val="00000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1"/>
                                    <w:rPr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(3)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Quando uma solicitação de ajuste de entrega de um fornecedor for recebida, os membros da equipe de compras da divisão farão o ajuste de produção necessário em cooperação com o Departamento de Controle de Produção e outros departamentos para uma atividade de produção suave.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color w:val="000000"/>
                                      <w:szCs w:val="20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Cs w:val="20"/>
                                      <w:lang w:eastAsia="ja-JP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  <w:t>Quando as mudanças são inevitáveis ​​devido a vendas, peças de serviço, problemas de qualidade, etc., os membros da equipe de compras da divisão farão os ajustes necessários com os fornecedores e inserirão os dados no sistema de produção para colocação de pedidos. Os registros de negociação com fornecedores devem ser documentados adequadamente, conforme necessário.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rFonts w:cs="MS-Mincho;Arial Unicode MS"/>
                                    </w:rPr>
                                  </w:pPr>
                                  <w:r>
                                    <w:rPr/>
                                    <w:t xml:space="preserve">Quando os fornecedores não conseguem atingir o nível de qualidade ou custo, o Gerente do Departamento de Compras da Divisão determinará o fornecimento desses materiais conforme necessário. Os métodos de fornecimento de materiais envolvem fornecimentos pagos ou gratuitos. Considerando o tipo de materiais, detalhes de processamento, manutenção de crédito, etc., o Diretor da Divisão tomará uma decisão sobre o acima em consulta com os departamentos relevantes.</w:t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  <w:t xml:space="preserve">Quando as peças fornecidas estiverem envolvidas, os membros da equipe de aquisição da divisão realizarão a operação de fornecimento conforme descrito abaixo.</w:t>
                                  </w:r>
                                </w:p>
                                <w:p>
                                  <w:pPr>
                                    <w:pStyle w:val="Normal"/>
                                    <w:ind w:firstLine="200"/>
                                    <w:rPr/>
                                  </w:pPr>
                                  <w:r>
                                    <w:rPr>
                                      <w:szCs w:val="20"/>
                                    </w:rPr>
                                    <w:t>(1)</w:t>
                                  </w:r>
                                  <w:r>
                                    <w:rPr>
                                      <w:szCs w:val="20"/>
                                      <w:lang w:eastAsia="ja-JP"/>
                                    </w:rPr>
                                    <w:tab/>
                                    <w:t>P</w:t>
                                  </w:r>
                                  <w:r>
                                    <w:rPr>
                                      <w:szCs w:val="20"/>
                                    </w:rPr>
                                    <w:t xml:space="preserve">suprimentos de ajuda</w:t>
                                  </w:r>
                                  <w:bookmarkStart w:id="55" w:name="OLE_LINK12"/>
                                  <w:bookmarkStart w:id="56" w:name="OLE_LINK11"/>
                                </w:p>
                                <w:p>
                                  <w:pPr>
                                    <w:pStyle w:val="Ten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/>
                                    <w:t>Os membros da equipe de compras da divisão formularão um plano de fornecimento e o enviarão aos fornecedores.</w:t>
                                  </w:r>
                                </w:p>
                                <w:p>
                                  <w:pPr>
                                    <w:pStyle w:val="Ten"/>
                                    <w:rPr/>
                                  </w:pPr>
                                  <w:bookmarkStart w:id="57" w:name="OLE_LINK51"/>
                                  <w:bookmarkStart w:id="58" w:name="OLE_LINK50"/>
                                  <w:bookmarkEnd w:id="57"/>
                                  <w:bookmarkEnd w:id="58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Os membros da equipe de operação de fornecimento fornecerão as peças juntamente com as guias de fornecimento de peças emitidas de acordo com um plano de fornecimento.</w:t>
                                  </w:r>
                                  <w:bookmarkEnd w:id="55"/>
                                  <w:bookmarkEnd w:id="56"/>
                                </w:p>
                                <w:p>
                                  <w:pPr>
                                    <w:pStyle w:val="Ten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bookmarkStart w:id="59" w:name="OLE_LINK49"/>
                                  <w:bookmarkStart w:id="60" w:name="OLE_LINK48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/>
                                    <w:t>Os membros da equipe de compras da divisão solicitarão aos fornecedores que enviem um relatório de estoque de peças fornecidas (Anexo 3) no início de um mês. Após o recebimento do acima, os membros da equipe de aquisições da divisão verificarão cuidadosamente os detalhes e farão um relatório ao Departamento de Contabilidade para aprovação.</w:t>
                                  </w:r>
                                  <w:bookmarkEnd w:id="59"/>
                                  <w:bookmarkEnd w:id="60"/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  <w:bookmarkStart w:id="61" w:name="OLE_LINK51"/>
                                  <w:bookmarkStart w:id="62" w:name="OLE_LINK50"/>
                                  <w:bookmarkStart w:id="63" w:name="OLE_LINK51"/>
                                  <w:bookmarkStart w:id="64" w:name="OLE_LINK50"/>
                                  <w:bookmarkEnd w:id="63"/>
                                  <w:bookmarkEnd w:id="64"/>
                                </w:p>
                                <w:p>
                                  <w:pPr>
                                    <w:pStyle w:val="1"/>
                                    <w:rPr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(2)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ab/>
                                    <w:t>C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suprimentos gratuitos</w:t>
                                  </w:r>
                                  <w:bookmarkStart w:id="65" w:name="OLE_LINK8"/>
                                  <w:bookmarkStart w:id="66" w:name="OLE_LINK7"/>
                                </w:p>
                                <w:p>
                                  <w:pPr>
                                    <w:pStyle w:val="Ten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Os membros da equipe de operação de fornecimento fornecerão as peças juntamente com as guias de fornecimento de peças emitidas de acordo com um plano de fornecimento</w:t>
                                  </w:r>
                                  <w:r>
                                    <w:rPr>
                                      <w:color w:val="FF0000"/>
                                      <w:sz w:val="20"/>
                                      <w:szCs w:val="20"/>
                                    </w:rPr>
                                    <w:t>documento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en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/>
                                    <w:t>Os membros da equipe de compras da divisão anunciarão o estoque teórico de peças fornecidas ao fornecedor para confirmar que não há discrepâncias no início do mês. Se forem encontradas discrepâncias, os detalhes devem ser verificados e os ajustes necessários devem ser feitos com os departamentos relevantes para recuperação.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  <w:t>Os membros da equipe de compras da Divisão realizarão a operação de controle de entrega conforme descrito abaixo.</w:t>
                                  </w:r>
                                  <w:bookmarkEnd w:id="65"/>
                                  <w:bookmarkEnd w:id="66"/>
                                </w:p>
                                <w:p>
                                  <w:pPr>
                                    <w:pStyle w:val="1"/>
                                    <w:rPr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(1)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Os devidos acompanhamentos devem ser feitos aos fornecedores relevantes para entrega facilitada de acordo com a lista de itens não entregues no sistema de produção.</w:t>
                                  </w:r>
                                </w:p>
                                <w:p>
                                  <w:pPr>
                                    <w:pStyle w:val="1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  <w:p>
                                  <w:pPr>
                                    <w:pStyle w:val="1"/>
                                    <w:rPr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(2)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Os registros de entrega do fornecedor devem ser avaliados e tratados em termos de entrega (D) de acordo com as “Normas de Gestão de Fornecedores” (APQ-BP-004).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color w:val="00000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  <w:t xml:space="preserve">Os membros da equipe de controle de materiais devolverão as peças aos fornecedores conforme descrito abaixo.</w:t>
                                  </w:r>
                                </w:p>
                                <w:p>
                                  <w:pPr>
                                    <w:pStyle w:val="1"/>
                                    <w:rPr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(1)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/>
                                    </w:rPr>
                                    <w:t>Ao aceitar materiais</w:t>
                                  </w:r>
                                </w:p>
                                <w:p>
                                  <w:pPr>
                                    <w:pStyle w:val="1"/>
                                    <w:rPr/>
                                  </w:pPr>
                                  <w:r>
                                    <w:rPr>
                                      <w:color w:val="000000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Quando os materiais são entregues incorretamente (número de peça, quantidade, etc.), eles devem ser devolvidos aos fornecedores após ajustes com os departamentos relevantes, incluindo o Departamento de Compras.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color w:val="00000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1"/>
                                    <w:rPr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(2)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Quando a inspeção recebida identificar peças não conformes, estas devem ser devolvidas aos fornecedores após ajustes com os departamentos relevantes, incluindo o Departamento de Qualidade.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color w:val="00000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1"/>
                                    <w:rPr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(3)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Quando as peças não conformes são identificadas após a inspeção de entrada, as mesmas devem ser devolvidas com as guias de peças devolvidas anexadas aos fornecedores após a confirmação do Departamento de Qualidade. Para fornecedores aos quais a Lei de Subcontratação é aplicável, isso deve ser realizado apenas para aqueles que assinaram um contrato voluntário de garantia de qualidade ou um memorando de inspeção consignada.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color w:val="00000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1"/>
                                    <w:rPr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(4)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(2) e (3) devem ser realizados de acordo com as “Normas de Controle de Artigos Não Conformes” (APQ-BQ-009).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color w:val="00000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  <w:t xml:space="preserve">O Departamento de Suprimentos da Divisão enviará um Aviso de Pagamento / Aviso de Objeção (Anexo 2) aos fornecedores no início do mês usando o Portal do Fornecedor. Verifique se alguma objeção do fornecedor está inserida no Portal do Fornecedor e faça um relatório ao Departamento de Contabilidade sobre isso. Quando não houver objeção, o Departamento de Contabilidade processará o pagamento. Quando houver uma objeção, os membros da equipe de compras da divisão verificarão os detalhes e farão os ajustes necessários de cálculo errado. Depois disso, o Departamento de Contabilidade processará o pagamento.</w:t>
                                  </w:r>
                                  <w:bookmarkStart w:id="67" w:name="OLE_LINK47"/>
                                  <w:bookmarkStart w:id="68" w:name="OLE_LINK46"/>
                                  <w:bookmarkStart w:id="69" w:name="OLE_LINK45"/>
                                  <w:bookmarkStart w:id="70" w:name="OLE_LINK44"/>
                                  <w:bookmarkEnd w:id="69"/>
                                  <w:bookmarkEnd w:id="70"/>
                                  <w:bookmarkEnd w:id="67"/>
                                  <w:bookmarkEnd w:id="68"/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  <w:t xml:space="preserve">O controle de materiais deve ser realizado de acordo com as “Normas de Operação de Controle de Componentes” (APQ-BM-007).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szCs w:val="20"/>
                                    </w:rPr>
                                    <w:t xml:space="preserve">Quando o nível de estoque é excessivo devido ao fator do fornecedor, os membros da equipe de compras da divisão solicitarão maior eficiência em termos de produção, logística, etc. para obter entregas mais curtas e estoque reduzido. O descarte do material deve ser feito após a obtenção da aprovação de acordo com as "AP Company Approval Rules" (última versão).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szCs w:val="20"/>
                                      <w:lang w:val="en-US" w:eastAsia="ja-JP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color w:val="FF0000"/>
                                      <w:szCs w:val="20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Cs w:val="20"/>
                                      <w:lang w:eastAsia="ja-JP"/>
                                    </w:rPr>
                                    <w:t xml:space="preserve">O Departamento de Compras da Divisão atribuirá um código de item de três dígitos a cada componente de acordo com os "Códigos de Mercadorias de Materiais" (versão mais recente) das Definições de Indicadores de Atividade de Compras (Japão, no exterior) e os alimentará no sistema de controle de produção, em para monitorar as quantidades de componentes comprados, quantidades, etc. por fornecedor, indústria e item.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color w:val="FF0000"/>
                                      <w:szCs w:val="20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Cs w:val="20"/>
                                      <w:lang w:eastAsia="ja-JP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  <w:t xml:space="preserve">Todos os registros devem ser armazenados e controlados de acordo com os "Padrões de Controle de Documentos de Qualidade e Registros de Qualidade" (APQ-BG-001). Os registros dessas Normas devem ser armazenados de acordo com a Lista de Controle de Documentos e Registros de Qualidade (Anexo 4).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  <w:t xml:space="preserve">Outros itens ou procedimentos operacionais específicos que não são cobertos no item acima devem ser esclarecidos nas Normas ou Procedimentos da divisão ou local para garantir operações adequadas.</w:t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rFonts w:cs="MS-Mincho;Arial Unicode MS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cs="MS-Mincho;Arial Unicode MS"/>
                                      <w:color w:val="FF0000"/>
                                    </w:rPr>
                                    <w:t>Definições de Indicadores de Atividade de Aquisições (Japão, Exterior)</w:t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rFonts w:cs="MS-Mincho;Arial Unicode MS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cs="MS-Mincho;Arial Unicode MS"/>
                                      <w:color w:val="FF0000"/>
                                    </w:rPr>
                                    <w:t>Sistema de Símbolos de Classificação e Código de Item de Componentes Adquiridos</w:t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rFonts w:cs="MS-Mincho;Arial Unicode MS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cs="MS-Mincho;Arial Unicode MS"/>
                                      <w:color w:val="FF0000"/>
                                    </w:rPr>
                                    <w:t xml:space="preserve">(incluído no G-Matics "Manual de Regras/Padrões" Definições de Indicadores de Atividade de Compras &lt;incluindo classificações e símbolos de código de item&gt;)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490.9pt;height:841.9pt;mso-wrap-distance-left:0pt;mso-wrap-distance-right:7.1pt;mso-wrap-distance-top:0pt;mso-wrap-distance-bottom:0pt;margin-top:0.05pt;mso-position-vertical-relative:text;margin-left:-6.15pt;mso-position-horizontal-relative:text">
                <v:fill opacity="0f"/>
                <v:textbox inset="0in,0in,0in,0in">
                  <w:txbxContent>
                    <w:tbl>
                      <w:tblPr>
                        <w:tblW w:w="9818" w:type="dxa"/>
                        <w:jc w:val="start"/>
                        <w:tblInd w:w="-15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2264"/>
                        <w:gridCol w:w="7554"/>
                      </w:tblGrid>
                      <w:tr>
                        <w:trPr>
                          <w:trHeight w:val="14915" w:hRule="atLeast"/>
                        </w:trPr>
                        <w:tc>
                          <w:tcPr>
                            <w:tcW w:w="2264" w:type="dxa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12" w:space="0" w:color="000000"/>
                              <w:end w:val="single" w:sz="8" w:space="0" w:color="000000"/>
                            </w:tcBorders>
                          </w:tcPr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  <w:bookmarkStart w:id="71" w:name="OLE_LINK4"/>
                            <w:bookmarkStart w:id="72" w:name="OLE_LINK3"/>
                            <w:bookmarkStart w:id="73" w:name="OLE_LINK4"/>
                            <w:bookmarkStart w:id="74" w:name="OLE_LINK3"/>
                            <w:bookmarkEnd w:id="73"/>
                            <w:bookmarkEnd w:id="74"/>
                          </w:p>
                          <w:p>
                            <w:pPr>
                              <w:pStyle w:val="11"/>
                              <w:rPr/>
                            </w:pPr>
                            <w:r>
                              <w:rPr/>
                              <w:t>1. Propósito</w:t>
                              <w:tab/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  <w:lang w:eastAsia="ja-JP"/>
                              </w:rPr>
                            </w:pPr>
                            <w:r>
                              <w:rPr>
                                <w:szCs w:val="20"/>
                                <w:lang w:eastAsia="ja-JP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  <w:lang w:eastAsia="ja-JP"/>
                              </w:rPr>
                            </w:pPr>
                            <w:r>
                              <w:rPr>
                                <w:szCs w:val="20"/>
                                <w:lang w:eastAsia="ja-JP"/>
                              </w:rPr>
                            </w:r>
                          </w:p>
                          <w:p>
                            <w:pPr>
                              <w:pStyle w:val="11"/>
                              <w:rPr/>
                            </w:pPr>
                            <w:r>
                              <w:rPr/>
                              <w:t>2. Âmbito</w:t>
                              <w:tab/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  <w:lang w:eastAsia="ja-JP"/>
                              </w:rPr>
                            </w:pPr>
                            <w:r>
                              <w:rPr>
                                <w:szCs w:val="20"/>
                                <w:lang w:eastAsia="ja-JP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  <w:lang w:eastAsia="ja-JP"/>
                              </w:rPr>
                            </w:pPr>
                            <w:r>
                              <w:rPr>
                                <w:szCs w:val="20"/>
                                <w:lang w:eastAsia="ja-JP"/>
                              </w:rPr>
                            </w:r>
                          </w:p>
                          <w:p>
                            <w:pPr>
                              <w:pStyle w:val="11"/>
                              <w:rPr/>
                            </w:pPr>
                            <w:r>
                              <w:rPr/>
                              <w:t>3. Estabelecimento, revisão</w:t>
                              <w:tab/>
                            </w:r>
                            <w:r>
                              <w:rPr/>
                              <w:t>/revogação e promulgação</w:t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11"/>
                              <w:rPr/>
                            </w:pPr>
                            <w:r>
                              <w:rPr/>
                              <w:t>4.Definições</w:t>
                              <w:tab/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  <w:lang w:eastAsia="ja-JP"/>
                              </w:rPr>
                            </w:pPr>
                            <w:r>
                              <w:rPr>
                                <w:szCs w:val="20"/>
                                <w:lang w:eastAsia="ja-JP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  <w:lang w:eastAsia="ja-JP"/>
                              </w:rPr>
                            </w:pPr>
                            <w:r>
                              <w:rPr>
                                <w:szCs w:val="20"/>
                                <w:lang w:eastAsia="ja-JP"/>
                              </w:rPr>
                            </w:r>
                          </w:p>
                          <w:p>
                            <w:pPr>
                              <w:pStyle w:val="11"/>
                              <w:rPr/>
                            </w:pPr>
                            <w:r>
                              <w:rPr/>
                              <w:t>5.Operacional</w:t>
                              <w:tab/>
                            </w:r>
                            <w:r>
                              <w:rPr/>
                              <w:t>procedimentos</w:t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111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5.1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 xml:space="preserve">Colocação do pedido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  <w:lang w:eastAsia="ja-JP"/>
                              </w:rPr>
                            </w:pPr>
                            <w:r>
                              <w:rPr>
                                <w:szCs w:val="20"/>
                                <w:lang w:eastAsia="ja-JP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  <w:lang w:eastAsia="ja-JP"/>
                              </w:rPr>
                            </w:pPr>
                            <w:r>
                              <w:rPr>
                                <w:szCs w:val="20"/>
                                <w:lang w:eastAsia="ja-JP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  <w:lang w:eastAsia="ja-JP"/>
                              </w:rPr>
                            </w:pPr>
                            <w:r>
                              <w:rPr>
                                <w:szCs w:val="20"/>
                                <w:lang w:eastAsia="ja-JP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  <w:lang w:eastAsia="ja-JP"/>
                              </w:rPr>
                            </w:pPr>
                            <w:r>
                              <w:rPr>
                                <w:szCs w:val="20"/>
                                <w:lang w:eastAsia="ja-JP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  <w:lang w:eastAsia="ja-JP"/>
                              </w:rPr>
                            </w:pPr>
                            <w:r>
                              <w:rPr>
                                <w:szCs w:val="20"/>
                                <w:lang w:eastAsia="ja-JP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  <w:lang w:eastAsia="ja-JP"/>
                              </w:rPr>
                            </w:pPr>
                            <w:r>
                              <w:rPr>
                                <w:szCs w:val="20"/>
                                <w:lang w:eastAsia="ja-JP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  <w:lang w:eastAsia="ja-JP"/>
                              </w:rPr>
                            </w:pPr>
                            <w:r>
                              <w:rPr>
                                <w:szCs w:val="20"/>
                                <w:lang w:eastAsia="ja-JP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  <w:lang w:eastAsia="ja-JP"/>
                              </w:rPr>
                            </w:pPr>
                            <w:r>
                              <w:rPr>
                                <w:szCs w:val="20"/>
                                <w:lang w:eastAsia="ja-JP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16"/>
                              <w:rPr>
                                <w:szCs w:val="20"/>
                                <w:lang w:eastAsia="ja-JP"/>
                              </w:rPr>
                            </w:pPr>
                            <w:r>
                              <w:rPr>
                                <w:szCs w:val="20"/>
                                <w:lang w:eastAsia="ja-JP"/>
                              </w:rPr>
                            </w:r>
                          </w:p>
                          <w:p>
                            <w:pPr>
                              <w:pStyle w:val="111"/>
                              <w:rPr>
                                <w:color w:val="000000"/>
                              </w:rPr>
                            </w:pPr>
                            <w:bookmarkStart w:id="75" w:name="OLE_LINK18"/>
                            <w:bookmarkStart w:id="76" w:name="OLE_LINK17"/>
                            <w:bookmarkEnd w:id="75"/>
                            <w:bookmarkEnd w:id="76"/>
                            <w:r>
                              <w:rPr>
                                <w:color w:val="000000"/>
                              </w:rPr>
                              <w:t>5.1.1 Alterações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Cs w:val="20"/>
                              </w:rPr>
                            </w:r>
                            <w:bookmarkStart w:id="77" w:name="OLE_LINK18"/>
                            <w:bookmarkStart w:id="78" w:name="OLE_LINK17"/>
                            <w:bookmarkStart w:id="79" w:name="OLE_LINK18"/>
                            <w:bookmarkStart w:id="80" w:name="OLE_LINK17"/>
                            <w:bookmarkEnd w:id="79"/>
                            <w:bookmarkEnd w:id="80"/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  <w:lang w:eastAsia="ja-JP"/>
                              </w:rPr>
                            </w:pPr>
                            <w:r>
                              <w:rPr>
                                <w:szCs w:val="20"/>
                                <w:lang w:eastAsia="ja-JP"/>
                              </w:rPr>
                            </w:r>
                            <w:bookmarkStart w:id="81" w:name="OLE_LINK10"/>
                            <w:bookmarkStart w:id="82" w:name="OLE_LINK9"/>
                            <w:bookmarkStart w:id="83" w:name="OLE_LINK10"/>
                            <w:bookmarkStart w:id="84" w:name="OLE_LINK9"/>
                          </w:p>
                          <w:p>
                            <w:pPr>
                              <w:pStyle w:val="111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5.2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 xml:space="preserve">Operação de fornecimento de peças</w:t>
                            </w:r>
                            <w:bookmarkEnd w:id="83"/>
                            <w:bookmarkEnd w:id="84"/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  <w:lang w:eastAsia="ja-JP"/>
                              </w:rPr>
                            </w:pPr>
                            <w:r>
                              <w:rPr>
                                <w:szCs w:val="20"/>
                                <w:lang w:eastAsia="ja-JP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  <w:lang w:eastAsia="ja-JP"/>
                              </w:rPr>
                            </w:pPr>
                            <w:r>
                              <w:rPr>
                                <w:szCs w:val="20"/>
                                <w:lang w:eastAsia="ja-JP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  <w:lang w:eastAsia="ja-JP"/>
                              </w:rPr>
                            </w:pPr>
                            <w:r>
                              <w:rPr>
                                <w:szCs w:val="20"/>
                                <w:lang w:eastAsia="ja-JP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  <w:lang w:eastAsia="ja-JP"/>
                              </w:rPr>
                            </w:pPr>
                            <w:r>
                              <w:rPr>
                                <w:szCs w:val="20"/>
                                <w:lang w:eastAsia="ja-JP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  <w:lang w:eastAsia="ja-JP"/>
                              </w:rPr>
                            </w:pPr>
                            <w:r>
                              <w:rPr>
                                <w:szCs w:val="20"/>
                                <w:lang w:eastAsia="ja-JP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  <w:lang w:eastAsia="ja-JP"/>
                              </w:rPr>
                            </w:pPr>
                            <w:r>
                              <w:rPr>
                                <w:szCs w:val="20"/>
                                <w:lang w:eastAsia="ja-JP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  <w:lang w:eastAsia="ja-JP"/>
                              </w:rPr>
                            </w:pPr>
                            <w:r>
                              <w:rPr>
                                <w:szCs w:val="20"/>
                                <w:lang w:eastAsia="ja-JP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  <w:lang w:eastAsia="ja-JP"/>
                              </w:rPr>
                            </w:pPr>
                            <w:r>
                              <w:rPr>
                                <w:szCs w:val="20"/>
                                <w:lang w:eastAsia="ja-JP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76"/>
                              <w:rPr>
                                <w:szCs w:val="20"/>
                                <w:lang w:eastAsia="ja-JP"/>
                              </w:rPr>
                            </w:pPr>
                            <w:r>
                              <w:rPr>
                                <w:szCs w:val="20"/>
                                <w:lang w:eastAsia="ja-JP"/>
                              </w:rPr>
                            </w:r>
                          </w:p>
                          <w:p>
                            <w:pPr>
                              <w:pStyle w:val="111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5.3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 xml:space="preserve">Controle de entrega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  <w:lang w:eastAsia="ja-JP"/>
                              </w:rPr>
                            </w:pPr>
                            <w:r>
                              <w:rPr>
                                <w:szCs w:val="20"/>
                                <w:lang w:eastAsia="ja-JP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  <w:lang w:eastAsia="ja-JP"/>
                              </w:rPr>
                            </w:pPr>
                            <w:r>
                              <w:rPr>
                                <w:szCs w:val="20"/>
                                <w:lang w:eastAsia="ja-JP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  <w:lang w:eastAsia="ja-JP"/>
                              </w:rPr>
                            </w:pPr>
                            <w:r>
                              <w:rPr>
                                <w:szCs w:val="20"/>
                                <w:lang w:eastAsia="ja-JP"/>
                              </w:rPr>
                            </w:r>
                          </w:p>
                          <w:p>
                            <w:pPr>
                              <w:pStyle w:val="111"/>
                              <w:rPr/>
                            </w:pPr>
                            <w:bookmarkStart w:id="85" w:name="OLE_LINK20"/>
                            <w:bookmarkStart w:id="86" w:name="OLE_LINK19"/>
                            <w:r>
                              <w:rPr>
                                <w:color w:val="000000"/>
                              </w:rPr>
                              <w:t>5.4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 xml:space="preserve">Mercadorias devolvidas</w:t>
                            </w:r>
                            <w:bookmarkEnd w:id="85"/>
                            <w:bookmarkEnd w:id="86"/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  <w:lang w:eastAsia="ja-JP"/>
                              </w:rPr>
                            </w:pPr>
                            <w:r>
                              <w:rPr>
                                <w:szCs w:val="20"/>
                                <w:lang w:eastAsia="ja-JP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  <w:lang w:eastAsia="ja-JP"/>
                              </w:rPr>
                            </w:pPr>
                            <w:r>
                              <w:rPr>
                                <w:szCs w:val="20"/>
                                <w:lang w:eastAsia="ja-JP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  <w:lang w:eastAsia="ja-JP"/>
                              </w:rPr>
                            </w:pPr>
                            <w:r>
                              <w:rPr>
                                <w:szCs w:val="20"/>
                                <w:lang w:eastAsia="ja-JP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  <w:bookmarkStart w:id="87" w:name="OLE_LINK22"/>
                            <w:bookmarkStart w:id="88" w:name="OLE_LINK21"/>
                            <w:bookmarkStart w:id="89" w:name="OLE_LINK22"/>
                            <w:bookmarkStart w:id="90" w:name="OLE_LINK21"/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  <w:lang w:eastAsia="ja-JP"/>
                              </w:rPr>
                            </w:pPr>
                            <w:r>
                              <w:rPr>
                                <w:szCs w:val="20"/>
                                <w:lang w:eastAsia="ja-JP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  <w:lang w:eastAsia="ja-JP"/>
                              </w:rPr>
                            </w:pPr>
                            <w:r>
                              <w:rPr>
                                <w:szCs w:val="20"/>
                                <w:lang w:eastAsia="ja-JP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  <w:lang w:eastAsia="ja-JP"/>
                              </w:rPr>
                            </w:pPr>
                            <w:r>
                              <w:rPr>
                                <w:szCs w:val="20"/>
                                <w:lang w:eastAsia="ja-JP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  <w:lang w:eastAsia="ja-JP"/>
                              </w:rPr>
                            </w:pPr>
                            <w:r>
                              <w:rPr>
                                <w:szCs w:val="20"/>
                                <w:lang w:eastAsia="ja-JP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  <w:lang w:eastAsia="ja-JP"/>
                              </w:rPr>
                            </w:pPr>
                            <w:r>
                              <w:rPr>
                                <w:szCs w:val="20"/>
                                <w:lang w:eastAsia="ja-JP"/>
                              </w:rPr>
                            </w:r>
                          </w:p>
                          <w:p>
                            <w:pPr>
                              <w:pStyle w:val="111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5,5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 xml:space="preserve">Processo de pagamento</w:t>
                            </w:r>
                            <w:bookmarkEnd w:id="89"/>
                            <w:bookmarkEnd w:id="90"/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Cs w:val="20"/>
                              </w:rPr>
                            </w:r>
                            <w:bookmarkStart w:id="91" w:name="OLE_LINK14"/>
                            <w:bookmarkStart w:id="92" w:name="OLE_LINK13"/>
                            <w:bookmarkStart w:id="93" w:name="OLE_LINK14"/>
                            <w:bookmarkStart w:id="94" w:name="OLE_LINK13"/>
                            <w:bookmarkEnd w:id="93"/>
                            <w:bookmarkEnd w:id="94"/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  <w:lang w:eastAsia="ja-JP"/>
                              </w:rPr>
                            </w:pPr>
                            <w:r>
                              <w:rPr>
                                <w:szCs w:val="20"/>
                                <w:lang w:eastAsia="ja-JP"/>
                              </w:rPr>
                            </w:r>
                          </w:p>
                          <w:p>
                            <w:pPr>
                              <w:pStyle w:val="111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5.6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 xml:space="preserve">Controle de materiais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Cs w:val="20"/>
                              </w:rPr>
                            </w:r>
                            <w:bookmarkStart w:id="95" w:name="OLE_LINK14"/>
                            <w:bookmarkStart w:id="96" w:name="OLE_LINK13"/>
                            <w:bookmarkStart w:id="97" w:name="OLE_LINK14"/>
                            <w:bookmarkStart w:id="98" w:name="OLE_LINK13"/>
                            <w:bookmarkEnd w:id="97"/>
                            <w:bookmarkEnd w:id="98"/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  <w:lang w:eastAsia="ja-JP"/>
                              </w:rPr>
                            </w:pPr>
                            <w:r>
                              <w:rPr>
                                <w:szCs w:val="20"/>
                                <w:lang w:eastAsia="ja-JP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  <w:lang w:eastAsia="ja-JP"/>
                              </w:rPr>
                            </w:pPr>
                            <w:r>
                              <w:rPr>
                                <w:szCs w:val="20"/>
                                <w:lang w:eastAsia="ja-JP"/>
                              </w:rPr>
                            </w:r>
                          </w:p>
                          <w:p>
                            <w:pPr>
                              <w:pStyle w:val="111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5.</w:t>
                            </w:r>
                            <w:r>
                              <w:rPr>
                                <w:color w:val="FF0000"/>
                              </w:rPr>
                              <w:t>7Controle do histórico de compras</w:t>
                              <w:tab/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FF000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  <w:lang w:eastAsia="ja-JP"/>
                              </w:rPr>
                            </w:pPr>
                            <w:r>
                              <w:rPr>
                                <w:szCs w:val="20"/>
                                <w:lang w:eastAsia="ja-JP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  <w:lang w:eastAsia="ja-JP"/>
                              </w:rPr>
                            </w:pPr>
                            <w:r>
                              <w:rPr>
                                <w:szCs w:val="20"/>
                                <w:lang w:eastAsia="ja-JP"/>
                              </w:rPr>
                            </w:r>
                          </w:p>
                          <w:p>
                            <w:pPr>
                              <w:pStyle w:val="11"/>
                              <w:rPr/>
                            </w:pPr>
                            <w:r>
                              <w:rPr/>
                              <w:t>6. Retenção de</w:t>
                              <w:tab/>
                            </w:r>
                            <w:r>
                              <w:rPr/>
                              <w:t>registros</w:t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  <w:lang w:eastAsia="ja-JP"/>
                              </w:rPr>
                            </w:pPr>
                            <w:r>
                              <w:rPr>
                                <w:szCs w:val="20"/>
                                <w:lang w:eastAsia="ja-JP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  <w:lang w:eastAsia="ja-JP"/>
                              </w:rPr>
                            </w:pPr>
                            <w:r>
                              <w:rPr>
                                <w:szCs w:val="20"/>
                                <w:lang w:eastAsia="ja-JP"/>
                              </w:rPr>
                            </w:r>
                          </w:p>
                          <w:p>
                            <w:pPr>
                              <w:pStyle w:val="11"/>
                              <w:rPr/>
                            </w:pPr>
                            <w:r>
                              <w:rPr/>
                              <w:t>7. Outros</w:t>
                              <w:tab/>
                            </w:r>
                          </w:p>
                          <w:p>
                            <w:pPr>
                              <w:pStyle w:val="11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11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11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11"/>
                              <w:rPr/>
                            </w:pPr>
                            <w:r>
                              <w:rPr>
                                <w:color w:val="FF0000"/>
                              </w:rPr>
                              <w:t>8.</w:t>
                            </w:r>
                            <w:r>
                              <w:rPr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color w:val="FF0000"/>
                              </w:rPr>
                              <w:t>Documentos relacionados</w:t>
                            </w:r>
                          </w:p>
                        </w:tc>
                        <w:tc>
                          <w:tcPr>
                            <w:tcW w:w="7554" w:type="dxa"/>
                            <w:tcBorders>
                              <w:top w:val="single" w:sz="12" w:space="0" w:color="000000"/>
                              <w:start w:val="single" w:sz="8" w:space="0" w:color="000000"/>
                              <w:bottom w:val="single" w:sz="12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rPr>
                                <w:color w:val="FF000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  <w:t xml:space="preserve">O objetivo destas Normas é garantir que as operações de compra de materiais e produtos de processos terceirizados sejam realizadas sem problemas de acordo com as “Regras de Controle de Aquisição” (APQ-AP-001) da Panasonic Corporation's Appliances Company (doravante denominada “AP” ).</w:t>
                            </w:r>
                            <w:bookmarkStart w:id="99" w:name="OLE_LINK74"/>
                            <w:bookmarkStart w:id="100" w:name="OLE_LINK79"/>
                            <w:bookmarkStart w:id="101" w:name="OLE_LINK82"/>
                            <w:bookmarkStart w:id="102" w:name="OLE_LINK83"/>
                            <w:bookmarkEnd w:id="99"/>
                            <w:bookmarkEnd w:id="100"/>
                            <w:bookmarkEnd w:id="101"/>
                            <w:bookmarkEnd w:id="102"/>
                          </w:p>
                          <w:p>
                            <w:pPr>
                              <w:pStyle w:val="Normal"/>
                              <w:ind w:firstLine="4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  <w:t>Essas Normas se aplicam a todos os materiais e produtos de processos terceirizados que são consumidos na fabricação dos produtos da AP.</w:t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  <w:t>Esses Padrões devem ser formulados, revisados ​​ou revogados pelo funcionário da AP responsável por aquisições e publicados pelo Diretor do Centro Global de Aquisições (doravante denominado "Diretor GPC").</w:t>
                            </w:r>
                            <w:bookmarkStart w:id="103" w:name="OLE_LINK52"/>
                            <w:bookmarkStart w:id="104" w:name="OLE_LINK53"/>
                            <w:bookmarkEnd w:id="103"/>
                            <w:bookmarkEnd w:id="104"/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  <w:lang w:eastAsia="ja-JP"/>
                              </w:rPr>
                            </w:pPr>
                            <w:r>
                              <w:rPr>
                                <w:szCs w:val="20"/>
                                <w:lang w:eastAsia="ja-JP"/>
                              </w:rPr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  <w:t xml:space="preserve">Termos e definições diferentes dos especificados abaixo estão de acordo com os especificados em outras normas.</w:t>
                            </w:r>
                          </w:p>
                          <w:p>
                            <w:pPr>
                              <w:pStyle w:val="1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(1)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 xml:space="preserve">Sistema de produção</w:t>
                            </w:r>
                          </w:p>
                          <w:p>
                            <w:pPr>
                              <w:pStyle w:val="1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>Refere-se a um sistema para realizar o planejamento de produção sem problemas, colocação de pedidos e controle de estoque.</w:t>
                            </w:r>
                            <w:r>
                              <w:rPr>
                                <w:color w:val="FF0000"/>
                              </w:rPr>
                              <w:t>O sistema de produção da AP é construído por cada divisão.</w:t>
                            </w:r>
                          </w:p>
                          <w:p>
                            <w:pPr>
                              <w:pStyle w:val="1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>(Cada um deve ser usado de acordo com o manual de instruções do sistema individual.)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1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(2)</w:t>
                            </w:r>
                            <w:bookmarkStart w:id="105" w:name="OLE_LINK6"/>
                            <w:bookmarkStart w:id="106" w:name="OLE_LINK5"/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>MRP (Planejamento de Requisitos de Materiais)</w:t>
                            </w:r>
                            <w:bookmarkEnd w:id="105"/>
                            <w:bookmarkEnd w:id="106"/>
                          </w:p>
                          <w:p>
                            <w:pPr>
                              <w:pStyle w:val="1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>Refere-se ao planejamento de arranjos para a quantidade necessária de materiais.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  <w:t>Os procedimentos da operação de compras devem estar de acordo com o Fluxograma Operacional (Anexo 1). Como diferentes divisões usam sistemas de produção diferentes, as Operações de Compras diferentes das listadas abaixo podem ser implementadas com base nas Regras de cada divisão.</w:t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  <w:bookmarkStart w:id="107" w:name="OLE_LINK2"/>
                            <w:bookmarkStart w:id="108" w:name="OLE_LINK1"/>
                            <w:bookmarkStart w:id="109" w:name="OLE_LINK2"/>
                            <w:bookmarkStart w:id="110" w:name="OLE_LINK1"/>
                            <w:bookmarkEnd w:id="109"/>
                            <w:bookmarkEnd w:id="110"/>
                          </w:p>
                          <w:p>
                            <w:pPr>
                              <w:pStyle w:val="Bun"/>
                              <w:rPr/>
                            </w:pPr>
                            <w:bookmarkStart w:id="111" w:name="OLE_LINK43"/>
                            <w:bookmarkStart w:id="112" w:name="OLE_LINK42"/>
                            <w:bookmarkStart w:id="113" w:name="OLE_LINK16"/>
                            <w:bookmarkStart w:id="114" w:name="OLE_LINK15"/>
                            <w:bookmarkEnd w:id="111"/>
                            <w:bookmarkEnd w:id="112"/>
                            <w:r>
                              <w:rPr/>
                              <w:t xml:space="preserve">Os membros da equipe de compras da divisão (membros da equipe de controle de produção da divisão) executam os seguintes procedimentos de colocação de pedidos.</w:t>
                            </w:r>
                            <w:bookmarkStart w:id="115" w:name="OLE_LINK29"/>
                            <w:bookmarkStart w:id="116" w:name="OLE_LINK28"/>
                            <w:bookmarkEnd w:id="113"/>
                            <w:bookmarkEnd w:id="114"/>
                            <w:bookmarkEnd w:id="115"/>
                            <w:bookmarkEnd w:id="116"/>
                          </w:p>
                          <w:p>
                            <w:pPr>
                              <w:pStyle w:val="1"/>
                              <w:rPr/>
                            </w:pPr>
                            <w:bookmarkStart w:id="117" w:name="OLE_LINK2"/>
                            <w:bookmarkStart w:id="118" w:name="OLE_LINK1"/>
                            <w:bookmarkStart w:id="119" w:name="OLE_LINK43"/>
                            <w:bookmarkStart w:id="120" w:name="OLE_LINK42"/>
                            <w:bookmarkEnd w:id="117"/>
                            <w:bookmarkEnd w:id="118"/>
                            <w:bookmarkEnd w:id="119"/>
                            <w:bookmarkEnd w:id="120"/>
                            <w:r>
                              <w:rPr>
                                <w:color w:val="000000"/>
                              </w:rPr>
                              <w:t>(1)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 xml:space="preserve">De acordo com o plano de produção, insira as informações de produção (nome do modelo, quantidade, cronograma, etc.) no sistema de produção.</w:t>
                            </w:r>
                          </w:p>
                          <w:p>
                            <w:pPr>
                              <w:pStyle w:val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1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(2)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 xml:space="preserve">Os pedidos calculados para MRP no sistema de produção para fornecedores individuais devem ser confirmados primeiro pelos membros da equipe de compras e depois aprovados pelo gerente do departamento de compras antes de fazer pedidos aos fornecedores.</w:t>
                            </w:r>
                          </w:p>
                          <w:p>
                            <w:pPr>
                              <w:pStyle w:val="1"/>
                              <w:ind w:start="854" w:hanging="48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a) O pedido deve conter os seguintes itens.</w:t>
                            </w:r>
                          </w:p>
                          <w:p>
                            <w:pPr>
                              <w:pStyle w:val="1"/>
                              <w:ind w:start="1138" w:hanging="3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1)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 xml:space="preserve">Data do pedido, 2) Nº do pedido, 3) Nome do fornecedor, 4) Departamento de pedidos e nome do pedido, 5) Nº de peça. e nome, 6) Preço unitário, quantidade, valor 7) Data de entrega, 8) Local de entrega,</w:t>
                            </w:r>
                          </w:p>
                          <w:p>
                            <w:pPr>
                              <w:pStyle w:val="1"/>
                              <w:ind w:start="1138" w:hanging="3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9)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 xml:space="preserve">Classificação das peças fornecidas (Sem peças fornecidas, Pago, Sem carga, Mistura),</w:t>
                            </w:r>
                            <w:bookmarkStart w:id="121" w:name="OLE_LINK31"/>
                            <w:bookmarkStart w:id="122" w:name="OLE_LINK30"/>
                          </w:p>
                          <w:p>
                            <w:pPr>
                              <w:pStyle w:val="1"/>
                              <w:ind w:start="1138" w:hanging="342"/>
                              <w:rPr>
                                <w:rFonts w:cs="MS-PGothic;Arial Unicode MS"/>
                                <w:color w:val="000000"/>
                              </w:rPr>
                            </w:pPr>
                            <w:bookmarkEnd w:id="121"/>
                            <w:bookmarkEnd w:id="122"/>
                            <w:r>
                              <w:rPr>
                                <w:color w:val="000000"/>
                              </w:rPr>
                              <w:t>10)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 xml:space="preserve">redação do imposto de consumo,</w:t>
                            </w:r>
                          </w:p>
                          <w:p>
                            <w:pPr>
                              <w:pStyle w:val="1"/>
                              <w:ind w:start="1138" w:hanging="342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11)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>Tipo o1 inspeção de entrada (100%, Amostragem, Sem teste, Sem teste),</w:t>
                            </w:r>
                          </w:p>
                          <w:p>
                            <w:pPr>
                              <w:pStyle w:val="1"/>
                              <w:ind w:start="1138" w:hanging="342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12)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 xml:space="preserve">Limite de tempo de conclusão da inspeção quando a inspeção de entrada for necessária,</w:t>
                            </w:r>
                          </w:p>
                          <w:p>
                            <w:pPr>
                              <w:pStyle w:val="1"/>
                              <w:ind w:start="1138" w:hanging="342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13)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P</w:t>
                            </w:r>
                            <w:r>
                              <w:rPr>
                                <w:color w:val="000000"/>
                              </w:rPr>
                              <w:t xml:space="preserve">termos de pagamento (data de fechamento, data de pagamento, forma de pagamento),</w:t>
                            </w:r>
                          </w:p>
                          <w:p>
                            <w:pPr>
                              <w:pStyle w:val="1"/>
                              <w:ind w:start="1138" w:hanging="342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14)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 xml:space="preserve">Vencimentos de contas a pagar e uma porcentagem de liquidações de contas versus pagamento em dinheiro quando as transações de contas são usadas,</w:t>
                            </w:r>
                          </w:p>
                          <w:p>
                            <w:pPr>
                              <w:pStyle w:val="1"/>
                              <w:ind w:start="1138" w:hanging="342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15) Quando estiverem envolvidos materiais de fornecimento pagos, nome da peça, quantidade, preço unitário, valor, data de fornecimento, data de liquidação e método.</w:t>
                            </w:r>
                          </w:p>
                          <w:p>
                            <w:pPr>
                              <w:pStyle w:val="1"/>
                              <w:ind w:start="854" w:hanging="484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b)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 xml:space="preserve">Peças de arranjo prévio e peças de estoque devem ser solicitadas após uma aquisição de aprovação de acordo com as "Regras de aprovação da empresa AP" (versão mais recente).</w:t>
                            </w:r>
                            <w:bookmarkStart w:id="123" w:name="OLE_LINK27"/>
                            <w:bookmarkStart w:id="124" w:name="OLE_LINK26"/>
                            <w:bookmarkStart w:id="125" w:name="OLE_LINK25"/>
                            <w:bookmarkEnd w:id="123"/>
                            <w:bookmarkEnd w:id="124"/>
                            <w:bookmarkEnd w:id="125"/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1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(3)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 xml:space="preserve">Quando uma solicitação de ajuste de entrega de um fornecedor for recebida, os membros da equipe de compras da divisão farão o ajuste de produção necessário em cooperação com o Departamento de Controle de Produção e outros departamentos para uma atividade de produção suave.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  <w:szCs w:val="20"/>
                                <w:lang w:eastAsia="ja-JP"/>
                              </w:rPr>
                            </w:pPr>
                            <w:r>
                              <w:rPr>
                                <w:color w:val="000000"/>
                                <w:szCs w:val="20"/>
                                <w:lang w:eastAsia="ja-JP"/>
                              </w:rPr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  <w:t>Quando as mudanças são inevitáveis ​​devido a vendas, peças de serviço, problemas de qualidade, etc., os membros da equipe de compras da divisão farão os ajustes necessários com os fornecedores e inserirão os dados no sistema de produção para colocação de pedidos. Os registros de negociação com fornecedores devem ser documentados adequadamente, conforme necessário.</w:t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Bun"/>
                              <w:rPr>
                                <w:rFonts w:cs="MS-Mincho;Arial Unicode MS"/>
                              </w:rPr>
                            </w:pPr>
                            <w:r>
                              <w:rPr/>
                              <w:t xml:space="preserve">Quando os fornecedores não conseguem atingir o nível de qualidade ou custo, o Gerente do Departamento de Compras da Divisão determinará o fornecimento desses materiais conforme necessário. Os métodos de fornecimento de materiais envolvem fornecimentos pagos ou gratuitos. Considerando o tipo de materiais, detalhes de processamento, manutenção de crédito, etc., o Diretor da Divisão tomará uma decisão sobre o acima em consulta com os departamentos relevantes.</w:t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  <w:t xml:space="preserve">Quando as peças fornecidas estiverem envolvidas, os membros da equipe de aquisição da divisão realizarão a operação de fornecimento conforme descrito abaixo.</w:t>
                            </w:r>
                          </w:p>
                          <w:p>
                            <w:pPr>
                              <w:pStyle w:val="Normal"/>
                              <w:ind w:firstLine="200"/>
                              <w:rPr/>
                            </w:pPr>
                            <w:r>
                              <w:rPr>
                                <w:szCs w:val="20"/>
                              </w:rPr>
                              <w:t>(1)</w:t>
                            </w:r>
                            <w:r>
                              <w:rPr>
                                <w:szCs w:val="20"/>
                                <w:lang w:eastAsia="ja-JP"/>
                              </w:rPr>
                              <w:tab/>
                              <w:t>P</w:t>
                            </w:r>
                            <w:r>
                              <w:rPr>
                                <w:szCs w:val="20"/>
                              </w:rPr>
                              <w:t xml:space="preserve">suprimentos de ajuda</w:t>
                            </w:r>
                            <w:bookmarkStart w:id="126" w:name="OLE_LINK12"/>
                            <w:bookmarkStart w:id="127" w:name="OLE_LINK11"/>
                          </w:p>
                          <w:p>
                            <w:pPr>
                              <w:pStyle w:val="Ten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/>
                              <w:t>Os membros da equipe de compras da divisão formularão um plano de fornecimento e o enviarão aos fornecedores.</w:t>
                            </w:r>
                          </w:p>
                          <w:p>
                            <w:pPr>
                              <w:pStyle w:val="Ten"/>
                              <w:rPr/>
                            </w:pPr>
                            <w:bookmarkStart w:id="128" w:name="OLE_LINK51"/>
                            <w:bookmarkStart w:id="129" w:name="OLE_LINK50"/>
                            <w:bookmarkEnd w:id="128"/>
                            <w:bookmarkEnd w:id="129"/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Os membros da equipe de operação de fornecimento fornecerão as peças juntamente com as guias de fornecimento de peças emitidas de acordo com um plano de fornecimento.</w:t>
                            </w:r>
                            <w:bookmarkEnd w:id="126"/>
                            <w:bookmarkEnd w:id="127"/>
                          </w:p>
                          <w:p>
                            <w:pPr>
                              <w:pStyle w:val="Ten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bookmarkStart w:id="130" w:name="OLE_LINK49"/>
                            <w:bookmarkStart w:id="131" w:name="OLE_LINK48"/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/>
                              <w:t>Os membros da equipe de compras da divisão solicitarão aos fornecedores que enviem um relatório de estoque de peças fornecidas (Anexo 3) no início de um mês. Após o recebimento do acima, os membros da equipe de aquisições da divisão verificarão cuidadosamente os detalhes e farão um relatório ao Departamento de Contabilidade para aprovação.</w:t>
                            </w:r>
                            <w:bookmarkEnd w:id="130"/>
                            <w:bookmarkEnd w:id="131"/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  <w:bookmarkStart w:id="132" w:name="OLE_LINK51"/>
                            <w:bookmarkStart w:id="133" w:name="OLE_LINK50"/>
                            <w:bookmarkStart w:id="134" w:name="OLE_LINK51"/>
                            <w:bookmarkStart w:id="135" w:name="OLE_LINK50"/>
                            <w:bookmarkEnd w:id="134"/>
                            <w:bookmarkEnd w:id="135"/>
                          </w:p>
                          <w:p>
                            <w:pPr>
                              <w:pStyle w:val="1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(2)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C</w:t>
                            </w:r>
                            <w:r>
                              <w:rPr>
                                <w:color w:val="000000"/>
                              </w:rPr>
                              <w:t xml:space="preserve">suprimentos gratuitos</w:t>
                            </w:r>
                            <w:bookmarkStart w:id="136" w:name="OLE_LINK8"/>
                            <w:bookmarkStart w:id="137" w:name="OLE_LINK7"/>
                          </w:p>
                          <w:p>
                            <w:pPr>
                              <w:pStyle w:val="Ten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Os membros da equipe de operação de fornecimento fornecerão as peças juntamente com as guias de fornecimento de peças emitidas de acordo com um plano de fornecimento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documento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>
                            <w:pPr>
                              <w:pStyle w:val="Ten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/>
                              <w:t>Os membros da equipe de compras da divisão anunciarão o estoque teórico de peças fornecidas ao fornecedor para confirmar que não há discrepâncias no início do mês. Se forem encontradas discrepâncias, os detalhes devem ser verificados e os ajustes necessários devem ser feitos com os departamentos relevantes para recuperação.</w:t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  <w:t>Os membros da equipe de compras da Divisão realizarão a operação de controle de entrega conforme descrito abaixo.</w:t>
                            </w:r>
                            <w:bookmarkEnd w:id="136"/>
                            <w:bookmarkEnd w:id="137"/>
                          </w:p>
                          <w:p>
                            <w:pPr>
                              <w:pStyle w:val="1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(1)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 xml:space="preserve">Os devidos acompanhamentos devem ser feitos aos fornecedores relevantes para entrega facilitada de acordo com a lista de itens não entregues no sistema de produção.</w:t>
                            </w:r>
                          </w:p>
                          <w:p>
                            <w:pPr>
                              <w:pStyle w:val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1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(2)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 xml:space="preserve">Os registros de entrega do fornecedor devem ser avaliados e tratados em termos de entrega (D) de acordo com as “Normas de Gestão de Fornecedores” (APQ-BP-004).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  <w:t xml:space="preserve">Os membros da equipe de controle de materiais devolverão as peças aos fornecedores conforme descrito abaixo.</w:t>
                            </w:r>
                          </w:p>
                          <w:p>
                            <w:pPr>
                              <w:pStyle w:val="1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(1)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>Ao aceitar materiais</w:t>
                            </w:r>
                          </w:p>
                          <w:p>
                            <w:pPr>
                              <w:pStyle w:val="1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 xml:space="preserve">Quando os materiais são entregues incorretamente (número de peça, quantidade, etc.), eles devem ser devolvidos aos fornecedores após ajustes com os departamentos relevantes, incluindo o Departamento de Compras.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1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(2)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 xml:space="preserve">Quando a inspeção recebida identificar peças não conformes, estas devem ser devolvidas aos fornecedores após ajustes com os departamentos relevantes, incluindo o Departamento de Qualidade.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1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(3)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 xml:space="preserve">Quando as peças não conformes são identificadas após a inspeção de entrada, as mesmas devem ser devolvidas com as guias de peças devolvidas anexadas aos fornecedores após a confirmação do Departamento de Qualidade. Para fornecedores aos quais a Lei de Subcontratação é aplicável, isso deve ser realizado apenas para aqueles que assinaram um contrato voluntário de garantia de qualidade ou um memorando de inspeção consignada.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1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(4)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 xml:space="preserve">(2) e (3) devem ser realizados de acordo com as “Normas de Controle de Artigos Não Conformes” (APQ-BQ-009).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  <w:t xml:space="preserve">O Departamento de Suprimentos da Divisão enviará um Aviso de Pagamento / Aviso de Objeção (Anexo 2) aos fornecedores no início do mês usando o Portal do Fornecedor. Verifique se alguma objeção do fornecedor está inserida no Portal do Fornecedor e faça um relatório ao Departamento de Contabilidade sobre isso. Quando não houver objeção, o Departamento de Contabilidade processará o pagamento. Quando houver uma objeção, os membros da equipe de compras da divisão verificarão os detalhes e farão os ajustes necessários de cálculo errado. Depois disso, o Departamento de Contabilidade processará o pagamento.</w:t>
                            </w:r>
                            <w:bookmarkStart w:id="138" w:name="OLE_LINK47"/>
                            <w:bookmarkStart w:id="139" w:name="OLE_LINK46"/>
                            <w:bookmarkStart w:id="140" w:name="OLE_LINK45"/>
                            <w:bookmarkStart w:id="141" w:name="OLE_LINK44"/>
                            <w:bookmarkEnd w:id="140"/>
                            <w:bookmarkEnd w:id="141"/>
                            <w:bookmarkEnd w:id="138"/>
                            <w:bookmarkEnd w:id="139"/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  <w:t xml:space="preserve">O controle de materiais deve ser realizado de acordo com as “Normas de Operação de Controle de Componentes” (APQ-BM-007).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Cs w:val="20"/>
                              </w:rPr>
                              <w:t xml:space="preserve">Quando o nível de estoque é excessivo devido ao fator do fornecedor, os membros da equipe de compras da divisão solicitarão maior eficiência em termos de produção, logística, etc. para obter entregas mais curtas e estoque reduzido. O descarte do material deve ser feito após a obtenção da aprovação de acordo com as "AP Company Approval Rules" (última versão).</w:t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szCs w:val="20"/>
                                <w:lang w:val="en-US" w:eastAsia="ja-JP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FF0000"/>
                                <w:szCs w:val="20"/>
                                <w:lang w:eastAsia="ja-JP"/>
                              </w:rPr>
                            </w:pPr>
                            <w:r>
                              <w:rPr>
                                <w:color w:val="FF0000"/>
                                <w:szCs w:val="20"/>
                                <w:lang w:eastAsia="ja-JP"/>
                              </w:rPr>
                              <w:t xml:space="preserve">O Departamento de Compras da Divisão atribuirá um código de item de três dígitos a cada componente de acordo com os "Códigos de Mercadorias de Materiais" (versão mais recente) das Definições de Indicadores de Atividade de Compras (Japão, no exterior) e os alimentará no sistema de controle de produção, em para monitorar as quantidades de componentes comprados, quantidades, etc. por fornecedor, indústria e item.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FF0000"/>
                                <w:szCs w:val="20"/>
                                <w:lang w:eastAsia="ja-JP"/>
                              </w:rPr>
                            </w:pPr>
                            <w:r>
                              <w:rPr>
                                <w:color w:val="FF0000"/>
                                <w:szCs w:val="20"/>
                                <w:lang w:eastAsia="ja-JP"/>
                              </w:rPr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  <w:t xml:space="preserve">Todos os registros devem ser armazenados e controlados de acordo com os "Padrões de Controle de Documentos de Qualidade e Registros de Qualidade" (APQ-BG-001). Os registros dessas Normas devem ser armazenados de acordo com a Lista de Controle de Documentos e Registros de Qualidade (Anexo 4).</w:t>
                            </w:r>
                          </w:p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  <w:t xml:space="preserve">Outros itens ou procedimentos operacionais específicos que não são cobertos no item acima devem ser esclarecidos nas Normas ou Procedimentos da divisão ou local para garantir operações adequadas.</w:t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un"/>
                              <w:rPr>
                                <w:rFonts w:cs="MS-Mincho;Arial Unicode MS"/>
                                <w:color w:val="FF0000"/>
                              </w:rPr>
                            </w:pPr>
                            <w:r>
                              <w:rPr>
                                <w:rFonts w:cs="MS-Mincho;Arial Unicode MS"/>
                                <w:color w:val="FF0000"/>
                              </w:rPr>
                              <w:t>Definições de Indicadores de Atividade de Aquisições (Japão, Exterior)</w:t>
                            </w:r>
                          </w:p>
                          <w:p>
                            <w:pPr>
                              <w:pStyle w:val="Bun"/>
                              <w:rPr>
                                <w:rFonts w:cs="MS-Mincho;Arial Unicode MS"/>
                                <w:color w:val="FF0000"/>
                              </w:rPr>
                            </w:pPr>
                            <w:r>
                              <w:rPr>
                                <w:rFonts w:cs="MS-Mincho;Arial Unicode MS"/>
                                <w:color w:val="FF0000"/>
                              </w:rPr>
                              <w:t>Sistema de Símbolos de Classificação e Código de Item de Componentes Adquiridos</w:t>
                            </w:r>
                          </w:p>
                          <w:p>
                            <w:pPr>
                              <w:pStyle w:val="Bun"/>
                              <w:rPr>
                                <w:rFonts w:cs="MS-Mincho;Arial Unicode MS"/>
                                <w:color w:val="FF0000"/>
                              </w:rPr>
                            </w:pPr>
                            <w:r>
                              <w:rPr>
                                <w:rFonts w:cs="MS-Mincho;Arial Unicode MS"/>
                                <w:color w:val="FF0000"/>
                              </w:rPr>
                              <w:t xml:space="preserve">(incluído no G-Matics "Manual de Regras/Padrões" Definições de Indicadores de Atividade de Compras &lt;incluindo classificações e símbolos de código de item&gt;)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4529455</wp:posOffset>
                </wp:positionH>
                <wp:positionV relativeFrom="paragraph">
                  <wp:posOffset>143510</wp:posOffset>
                </wp:positionV>
                <wp:extent cx="533400" cy="292100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21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end"/>
                              <w:rPr>
                                <w:color w:val="FF0000"/>
                                <w:lang w:eastAsia="ja-JP"/>
                              </w:rPr>
                            </w:pPr>
                            <w:r>
                              <w:rPr>
                                <w:color w:val="FF0000"/>
                                <w:lang w:eastAsia="ja-JP"/>
                              </w:rPr>
                              <w:t>2-3</w:t>
                            </w:r>
                          </w:p>
                        </w:txbxContent>
                      </wps:txbx>
                      <wps:bodyPr anchor="t" lIns="74930" tIns="9525" rIns="74930" bIns="95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42pt;height:23pt;mso-wrap-distance-left:9.05pt;mso-wrap-distance-right:9.05pt;mso-wrap-distance-top:0pt;mso-wrap-distance-bottom:0pt;margin-top:11.3pt;mso-position-vertical-relative:text;margin-left:356.65pt;mso-position-horizontal-relative:text">
                <v:fill opacity="0f"/>
                <v:textbox inset="0.0819444444444444in,0.0104166666666667in,0.0819444444444444in,0.0104166666666667in">
                  <w:txbxContent>
                    <w:p>
                      <w:pPr>
                        <w:pStyle w:val="Normal"/>
                        <w:jc w:val="end"/>
                        <w:rPr>
                          <w:color w:val="FF0000"/>
                          <w:lang w:eastAsia="ja-JP"/>
                        </w:rPr>
                      </w:pPr>
                      <w:r>
                        <w:rPr>
                          <w:color w:val="FF0000"/>
                          <w:lang w:eastAsia="ja-JP"/>
                        </w:rPr>
                        <w:t>2-3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6">
                <wp:simplePos x="0" y="0"/>
                <wp:positionH relativeFrom="column">
                  <wp:posOffset>4537710</wp:posOffset>
                </wp:positionH>
                <wp:positionV relativeFrom="paragraph">
                  <wp:posOffset>169545</wp:posOffset>
                </wp:positionV>
                <wp:extent cx="533400" cy="292100"/>
                <wp:effectExtent l="0" t="0" r="0" b="0"/>
                <wp:wrapNone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21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end"/>
                              <w:rPr>
                                <w:color w:val="FF0000"/>
                                <w:lang w:eastAsia="ja-JP"/>
                              </w:rPr>
                            </w:pPr>
                            <w:r>
                              <w:rPr>
                                <w:color w:val="FF0000"/>
                                <w:lang w:eastAsia="ja-JP"/>
                              </w:rPr>
                              <w:t>2-3</w:t>
                            </w:r>
                          </w:p>
                        </w:txbxContent>
                      </wps:txbx>
                      <wps:bodyPr anchor="t" lIns="74930" tIns="9525" rIns="74930" bIns="95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42pt;height:23pt;mso-wrap-distance-left:9.05pt;mso-wrap-distance-right:9.05pt;mso-wrap-distance-top:0pt;mso-wrap-distance-bottom:0pt;margin-top:13.35pt;mso-position-vertical-relative:text;margin-left:357.3pt;mso-position-horizontal-relative:text">
                <v:fill opacity="0f"/>
                <v:textbox inset="0.0819444444444444in,0.0104166666666667in,0.0819444444444444in,0.0104166666666667in">
                  <w:txbxContent>
                    <w:p>
                      <w:pPr>
                        <w:pStyle w:val="Normal"/>
                        <w:jc w:val="end"/>
                        <w:rPr>
                          <w:color w:val="FF0000"/>
                          <w:lang w:eastAsia="ja-JP"/>
                        </w:rPr>
                      </w:pPr>
                      <w:r>
                        <w:rPr>
                          <w:color w:val="FF0000"/>
                          <w:lang w:eastAsia="ja-JP"/>
                        </w:rPr>
                        <w:t>2-3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4523740</wp:posOffset>
                </wp:positionH>
                <wp:positionV relativeFrom="paragraph">
                  <wp:posOffset>142240</wp:posOffset>
                </wp:positionV>
                <wp:extent cx="533400" cy="236855"/>
                <wp:effectExtent l="0" t="0" r="0" b="0"/>
                <wp:wrapNone/>
                <wp:docPr id="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368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end"/>
                              <w:rPr>
                                <w:color w:val="FF0000"/>
                                <w:lang w:eastAsia="ja-JP"/>
                              </w:rPr>
                            </w:pPr>
                            <w:r>
                              <w:rPr>
                                <w:color w:val="FF0000"/>
                                <w:lang w:eastAsia="ja-JP"/>
                              </w:rPr>
                              <w:t>2-3</w:t>
                            </w:r>
                          </w:p>
                        </w:txbxContent>
                      </wps:txbx>
                      <wps:bodyPr anchor="t" lIns="74930" tIns="9525" rIns="74930" bIns="95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42pt;height:18.65pt;mso-wrap-distance-left:9.05pt;mso-wrap-distance-right:9.05pt;mso-wrap-distance-top:0pt;mso-wrap-distance-bottom:0pt;margin-top:11.2pt;mso-position-vertical-relative:text;margin-left:356.2pt;mso-position-horizontal-relative:text">
                <v:fill opacity="0f"/>
                <v:textbox inset="0.0819444444444444in,0.0104166666666667in,0.0819444444444444in,0.0104166666666667in">
                  <w:txbxContent>
                    <w:p>
                      <w:pPr>
                        <w:pStyle w:val="Normal"/>
                        <w:jc w:val="end"/>
                        <w:rPr>
                          <w:color w:val="FF0000"/>
                          <w:lang w:eastAsia="ja-JP"/>
                        </w:rPr>
                      </w:pPr>
                      <w:r>
                        <w:rPr>
                          <w:color w:val="FF0000"/>
                          <w:lang w:eastAsia="ja-JP"/>
                        </w:rPr>
                        <w:t>2-3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7">
                <wp:simplePos x="0" y="0"/>
                <wp:positionH relativeFrom="column">
                  <wp:posOffset>4523740</wp:posOffset>
                </wp:positionH>
                <wp:positionV relativeFrom="paragraph">
                  <wp:posOffset>6985</wp:posOffset>
                </wp:positionV>
                <wp:extent cx="533400" cy="191135"/>
                <wp:effectExtent l="0" t="0" r="0" b="0"/>
                <wp:wrapNone/>
                <wp:docPr id="5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1911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end"/>
                              <w:rPr>
                                <w:color w:val="FF0000"/>
                                <w:lang w:eastAsia="ja-JP"/>
                              </w:rPr>
                            </w:pPr>
                            <w:r>
                              <w:rPr>
                                <w:color w:val="FF0000"/>
                                <w:lang w:eastAsia="ja-JP"/>
                              </w:rPr>
                              <w:t>2-3</w:t>
                            </w:r>
                          </w:p>
                        </w:txbxContent>
                      </wps:txbx>
                      <wps:bodyPr anchor="t" lIns="74930" tIns="9525" rIns="74930" bIns="95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42pt;height:15.05pt;mso-wrap-distance-left:9.05pt;mso-wrap-distance-right:9.05pt;mso-wrap-distance-top:0pt;mso-wrap-distance-bottom:0pt;margin-top:0.55pt;mso-position-vertical-relative:text;margin-left:356.2pt;mso-position-horizontal-relative:text">
                <v:fill opacity="0f"/>
                <v:textbox inset="0.0819444444444444in,0.0104166666666667in,0.0819444444444444in,0.0104166666666667in">
                  <w:txbxContent>
                    <w:p>
                      <w:pPr>
                        <w:pStyle w:val="Normal"/>
                        <w:jc w:val="end"/>
                        <w:rPr>
                          <w:color w:val="FF0000"/>
                          <w:lang w:eastAsia="ja-JP"/>
                        </w:rPr>
                      </w:pPr>
                      <w:r>
                        <w:rPr>
                          <w:color w:val="FF0000"/>
                          <w:lang w:eastAsia="ja-JP"/>
                        </w:rPr>
                        <w:t>2-3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134" w:right="465" w:header="567" w:top="1151" w:footer="284" w:bottom="65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ＭＳ 明朝">
    <w:altName w:val="MS Mincho"/>
    <w:charset w:val="80"/>
    <w:family w:val="roma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sz w:val="21"/>
      </w:rPr>
    </w:pPr>
    <w:r>
      <w:rPr>
        <w:sz w:val="21"/>
      </w:rPr>
      <w:t>Empresa de Eletrodomésticos, Panasonic Corporation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  <w: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column">
                <wp:align>left</wp:align>
              </wp:positionH>
              <wp:positionV relativeFrom="line">
                <wp:posOffset>635</wp:posOffset>
              </wp:positionV>
              <wp:extent cx="6259830" cy="388620"/>
              <wp:effectExtent l="0" t="0" r="0" b="0"/>
              <wp:wrapNone/>
              <wp:docPr id="6" name="Frame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59830" cy="388620"/>
                      </a:xfrm>
                      <a:prstGeom prst="rect"/>
                      <a:solidFill>
                        <a:srgbClr val="FFFFFF"/>
                      </a:solidFill>
                    </wps:spPr>
                    <wps:txbx>
                      <w:txbxContent>
                        <w:tbl>
                          <w:tblPr>
                            <w:tblW w:w="9858" w:type="dxa"/>
                            <w:jc w:val="start"/>
                            <w:tblInd w:w="-138" w:type="dxa"/>
                            <w:tblLayout w:type="fixed"/>
                            <w:tblCellMar>
                              <w:top w:w="0" w:type="dxa"/>
                              <w:start w:w="108" w:type="dxa"/>
                              <w:bottom w:w="0" w:type="dxa"/>
                              <w:end w:w="108" w:type="dxa"/>
                            </w:tblCellMar>
                          </w:tblPr>
                          <w:tblGrid>
                            <w:gridCol w:w="2268"/>
                            <w:gridCol w:w="5954"/>
                            <w:gridCol w:w="1636"/>
                          </w:tblGrid>
                          <w:tr>
                            <w:trPr/>
                            <w:tc>
                              <w:tcPr>
                                <w:tcW w:w="2268" w:type="dxa"/>
                                <w:tcBorders>
                                  <w:top w:val="single" w:sz="12" w:space="0" w:color="000000"/>
                                  <w:start w:val="single" w:sz="12" w:space="0" w:color="000000"/>
                                  <w:bottom w:val="single" w:sz="6" w:space="0" w:color="000000"/>
                                  <w:end w:val="single" w:sz="6" w:space="0" w:color="000000"/>
                                </w:tcBorders>
                              </w:tcPr>
                              <w:p>
                                <w:pPr>
                                  <w:pStyle w:val="Header"/>
                                  <w:tabs>
                                    <w:tab w:val="clear" w:pos="840"/>
                                  </w:tabs>
                                  <w:jc w:val="center"/>
                                  <w:rPr>
                                    <w:rFonts w:cs="Arial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cs="Arial"/>
                                    <w:sz w:val="21"/>
                                  </w:rPr>
                                  <w:t>Nº padrão</w:t>
                                </w:r>
                              </w:p>
                            </w:tc>
                            <w:tc>
                              <w:tcPr>
                                <w:tcW w:w="5954" w:type="dxa"/>
                                <w:vMerge w:val="restart"/>
                                <w:tcBorders>
                                  <w:top w:val="single" w:sz="12" w:space="0" w:color="000000"/>
                                  <w:start w:val="single" w:sz="6" w:space="0" w:color="000000"/>
                                  <w:bottom w:val="single" w:sz="4" w:space="0" w:color="000000"/>
                                  <w:end w:val="single" w:sz="6" w:space="0" w:color="000000"/>
                                </w:tcBorders>
                                <w:vAlign w:val="center"/>
                              </w:tcPr>
                              <w:p>
                                <w:pPr>
                                  <w:pStyle w:val="Header"/>
                                  <w:tabs>
                                    <w:tab w:val="clear" w:pos="840"/>
                                  </w:tabs>
                                  <w:jc w:val="center"/>
                                  <w:rPr>
                                    <w:rFonts w:cs="Arial"/>
                                    <w:b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sz w:val="24"/>
                                  </w:rPr>
                                  <w:t>Padrões de Implementação da Operação de Aquisição</w:t>
                                </w:r>
                              </w:p>
                            </w:tc>
                            <w:tc>
                              <w:tcPr>
                                <w:tcW w:w="1636" w:type="dxa"/>
                                <w:tcBorders>
                                  <w:top w:val="single" w:sz="12" w:space="0" w:color="000000"/>
                                  <w:start w:val="single" w:sz="6" w:space="0" w:color="000000"/>
                                  <w:bottom w:val="single" w:sz="6" w:space="0" w:color="000000"/>
                                  <w:end w:val="single" w:sz="12" w:space="0" w:color="000000"/>
                                </w:tcBorders>
                              </w:tcPr>
                              <w:p>
                                <w:pPr>
                                  <w:pStyle w:val="Header"/>
                                  <w:tabs>
                                    <w:tab w:val="clear" w:pos="840"/>
                                    <w:tab w:val="center" w:pos="1032" w:leader="none"/>
                                  </w:tabs>
                                  <w:rPr>
                                    <w:rFonts w:cs="Arial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cs="Arial"/>
                                    <w:sz w:val="21"/>
                                  </w:rPr>
                                  <w:t xml:space="preserve">Página:</w:t>
                                </w:r>
                                <w:r>
                                  <w:rPr>
                                    <w:rFonts w:cs="Arial"/>
                                    <w:sz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1"/>
                                    <w:rFonts w:cs="Arial"/>
                                  </w:rPr>
                                  <w:instrText> PAGE </w:instrText>
                                </w:r>
                                <w:r>
                                  <w:rPr>
                                    <w:sz w:val="21"/>
                                    <w:rFonts w:cs="Arial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1"/>
                                    <w:rFonts w:cs="Arial"/>
                                  </w:rPr>
                                  <w:t>1</w:t>
                                </w:r>
                                <w:r>
                                  <w:rPr>
                                    <w:sz w:val="21"/>
                                    <w:rFonts w:cs="Arial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cs="Arial"/>
                                    <w:sz w:val="21"/>
                                  </w:rPr>
                                  <w:t>/</w:t>
                                </w:r>
                                <w:r>
                                  <w:rPr>
                                    <w:rFonts w:cs="Arial"/>
                                    <w:sz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1"/>
                                    <w:rFonts w:cs="Arial"/>
                                  </w:rPr>
                                  <w:instrText> NUMPAGES \* ARABIC </w:instrText>
                                </w:r>
                                <w:r>
                                  <w:rPr>
                                    <w:sz w:val="21"/>
                                    <w:rFonts w:cs="Arial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1"/>
                                    <w:rFonts w:cs="Arial"/>
                                  </w:rPr>
                                  <w:t>1</w:t>
                                </w:r>
                                <w:r>
                                  <w:rPr>
                                    <w:sz w:val="21"/>
                                    <w:rFonts w:cs="Arial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>
                            <w:trPr/>
                            <w:tc>
                              <w:tcPr>
                                <w:tcW w:w="2268" w:type="dxa"/>
                                <w:tcBorders>
                                  <w:top w:val="single" w:sz="6" w:space="0" w:color="000000"/>
                                  <w:start w:val="single" w:sz="12" w:space="0" w:color="000000"/>
                                  <w:bottom w:val="single" w:sz="12" w:space="0" w:color="000000"/>
                                  <w:end w:val="single" w:sz="6" w:space="0" w:color="000000"/>
                                </w:tcBorders>
                              </w:tcPr>
                              <w:p>
                                <w:pPr>
                                  <w:pStyle w:val="Header"/>
                                  <w:tabs>
                                    <w:tab w:val="clear" w:pos="840"/>
                                  </w:tabs>
                                  <w:jc w:val="center"/>
                                  <w:rPr>
                                    <w:rFonts w:cs="Arial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cs="Arial"/>
                                    <w:sz w:val="21"/>
                                  </w:rPr>
                                  <w:t xml:space="preserve">APQ-BP-003</w:t>
                                </w:r>
                              </w:p>
                            </w:tc>
                            <w:tc>
                              <w:tcPr>
                                <w:tcW w:w="5954" w:type="dxa"/>
                                <w:vMerge w:val="continue"/>
                                <w:tcBorders>
                                  <w:top w:val="single" w:sz="12" w:space="0" w:color="000000"/>
                                  <w:start w:val="single" w:sz="6" w:space="0" w:color="000000"/>
                                  <w:bottom w:val="single" w:sz="4" w:space="0" w:color="000000"/>
                                  <w:end w:val="single" w:sz="6" w:space="0" w:color="000000"/>
                                </w:tcBorders>
                                <w:vAlign w:val="center"/>
                              </w:tcPr>
                              <w:p>
                                <w:pPr>
                                  <w:pStyle w:val="Header"/>
                                  <w:rPr>
                                    <w:rFonts w:cs="Arial"/>
                                    <w:sz w:val="21"/>
                                    <w:szCs w:val="20"/>
                                  </w:rPr>
                                </w:pPr>
                                <w:r>
                                  <w:rPr>
                                    <w:rFonts w:cs="Arial"/>
                                    <w:sz w:val="21"/>
                                    <w:szCs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1636" w:type="dxa"/>
                                <w:tcBorders>
                                  <w:top w:val="single" w:sz="6" w:space="0" w:color="000000"/>
                                  <w:start w:val="single" w:sz="6" w:space="0" w:color="000000"/>
                                  <w:bottom w:val="single" w:sz="12" w:space="0" w:color="000000"/>
                                  <w:end w:val="single" w:sz="12" w:space="0" w:color="000000"/>
                                </w:tcBorders>
                              </w:tcPr>
                              <w:p>
                                <w:pPr>
                                  <w:pStyle w:val="Header"/>
                                  <w:tabs>
                                    <w:tab w:val="clear" w:pos="840"/>
                                    <w:tab w:val="center" w:pos="1032" w:leader="none"/>
                                  </w:tabs>
                                  <w:rPr>
                                    <w:rFonts w:cs="Arial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cs="Arial"/>
                                    <w:sz w:val="21"/>
                                  </w:rPr>
                                  <w:t xml:space="preserve">Versão: 2-3</w:t>
                                </w:r>
                              </w:p>
                            </w:tc>
                          </w:tr>
                        </w:tbl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492.9pt;height:30.6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<v:textbox inset="0in,0in,0in,0in">
                <w:txbxContent>
                  <w:tbl>
                    <w:tblPr>
                      <w:tblW w:w="9858" w:type="dxa"/>
                      <w:jc w:val="start"/>
                      <w:tblInd w:w="-138" w:type="dxa"/>
                      <w:tblLayout w:type="fixed"/>
                      <w:tblCellMar>
                        <w:top w:w="0" w:type="dxa"/>
                        <w:start w:w="108" w:type="dxa"/>
                        <w:bottom w:w="0" w:type="dxa"/>
                        <w:end w:w="108" w:type="dxa"/>
                      </w:tblCellMar>
                    </w:tblPr>
                    <w:tblGrid>
                      <w:gridCol w:w="2268"/>
                      <w:gridCol w:w="5954"/>
                      <w:gridCol w:w="1636"/>
                    </w:tblGrid>
                    <w:tr>
                      <w:trPr/>
                      <w:tc>
                        <w:tcPr>
                          <w:tcW w:w="2268" w:type="dxa"/>
                          <w:tcBorders>
                            <w:top w:val="single" w:sz="12" w:space="0" w:color="000000"/>
                            <w:start w:val="single" w:sz="12" w:space="0" w:color="000000"/>
                            <w:bottom w:val="single" w:sz="6" w:space="0" w:color="000000"/>
                            <w:end w:val="single" w:sz="6" w:space="0" w:color="000000"/>
                          </w:tcBorders>
                        </w:tcPr>
                        <w:p>
                          <w:pPr>
                            <w:pStyle w:val="Header"/>
                            <w:tabs>
                              <w:tab w:val="clear" w:pos="840"/>
                            </w:tabs>
                            <w:jc w:val="center"/>
                            <w:rPr>
                              <w:rFonts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="Arial"/>
                              <w:sz w:val="21"/>
                            </w:rPr>
                            <w:t>Nº padrão</w:t>
                          </w:r>
                        </w:p>
                      </w:tc>
                      <w:tc>
                        <w:tcPr>
                          <w:tcW w:w="5954" w:type="dxa"/>
                          <w:vMerge w:val="restart"/>
                          <w:tcBorders>
                            <w:top w:val="single" w:sz="12" w:space="0" w:color="000000"/>
                            <w:start w:val="single" w:sz="6" w:space="0" w:color="000000"/>
                            <w:bottom w:val="single" w:sz="4" w:space="0" w:color="000000"/>
                            <w:end w:val="single" w:sz="6" w:space="0" w:color="000000"/>
                          </w:tcBorders>
                          <w:vAlign w:val="center"/>
                        </w:tcPr>
                        <w:p>
                          <w:pPr>
                            <w:pStyle w:val="Header"/>
                            <w:tabs>
                              <w:tab w:val="clear" w:pos="840"/>
                            </w:tabs>
                            <w:jc w:val="center"/>
                            <w:rPr>
                              <w:rFonts w:cs="Arial"/>
                              <w:b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b/>
                              <w:sz w:val="24"/>
                            </w:rPr>
                            <w:t>Padrões de Implementação da Operação de Aquisição</w:t>
                          </w:r>
                        </w:p>
                      </w:tc>
                      <w:tc>
                        <w:tcPr>
                          <w:tcW w:w="1636" w:type="dxa"/>
                          <w:tcBorders>
                            <w:top w:val="single" w:sz="12" w:space="0" w:color="000000"/>
                            <w:start w:val="single" w:sz="6" w:space="0" w:color="000000"/>
                            <w:bottom w:val="single" w:sz="6" w:space="0" w:color="000000"/>
                            <w:end w:val="single" w:sz="12" w:space="0" w:color="000000"/>
                          </w:tcBorders>
                        </w:tcPr>
                        <w:p>
                          <w:pPr>
                            <w:pStyle w:val="Header"/>
                            <w:tabs>
                              <w:tab w:val="clear" w:pos="840"/>
                              <w:tab w:val="center" w:pos="1032" w:leader="none"/>
                            </w:tabs>
                            <w:rPr>
                              <w:rFonts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="Arial"/>
                              <w:sz w:val="21"/>
                            </w:rPr>
                            <w:t xml:space="preserve">Página:</w:t>
                          </w:r>
                          <w:r>
                            <w:rPr>
                              <w:rFonts w:cs="Arial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rFonts w:cs="Arial"/>
                            </w:rPr>
                            <w:instrText> PAGE </w:instrText>
                          </w:r>
                          <w:r>
                            <w:rPr>
                              <w:sz w:val="21"/>
                              <w:rFonts w:cs="Arial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rFonts w:cs="Arial"/>
                            </w:rPr>
                            <w:t>1</w:t>
                          </w:r>
                          <w:r>
                            <w:rPr>
                              <w:sz w:val="21"/>
                              <w:rFonts w:cs="Arial"/>
                            </w:rPr>
                            <w:fldChar w:fldCharType="end"/>
                          </w:r>
                          <w:r>
                            <w:rPr>
                              <w:rFonts w:cs="Arial"/>
                              <w:sz w:val="21"/>
                            </w:rPr>
                            <w:t>/</w:t>
                          </w:r>
                          <w:r>
                            <w:rPr>
                              <w:rFonts w:cs="Arial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rFonts w:cs="Arial"/>
                            </w:rPr>
                            <w:instrText> NUMPAGES \* ARABIC </w:instrText>
                          </w:r>
                          <w:r>
                            <w:rPr>
                              <w:sz w:val="21"/>
                              <w:rFonts w:cs="Arial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rFonts w:cs="Arial"/>
                            </w:rPr>
                            <w:t>1</w:t>
                          </w:r>
                          <w:r>
                            <w:rPr>
                              <w:sz w:val="21"/>
                              <w:rFonts w:cs="Arial"/>
                            </w:rPr>
                            <w:fldChar w:fldCharType="end"/>
                          </w:r>
                        </w:p>
                      </w:tc>
                    </w:tr>
                    <w:tr>
                      <w:trPr/>
                      <w:tc>
                        <w:tcPr>
                          <w:tcW w:w="2268" w:type="dxa"/>
                          <w:tcBorders>
                            <w:top w:val="single" w:sz="6" w:space="0" w:color="000000"/>
                            <w:start w:val="single" w:sz="12" w:space="0" w:color="000000"/>
                            <w:bottom w:val="single" w:sz="12" w:space="0" w:color="000000"/>
                            <w:end w:val="single" w:sz="6" w:space="0" w:color="000000"/>
                          </w:tcBorders>
                        </w:tcPr>
                        <w:p>
                          <w:pPr>
                            <w:pStyle w:val="Header"/>
                            <w:tabs>
                              <w:tab w:val="clear" w:pos="840"/>
                            </w:tabs>
                            <w:jc w:val="center"/>
                            <w:rPr>
                              <w:rFonts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="Arial"/>
                              <w:sz w:val="21"/>
                            </w:rPr>
                            <w:t xml:space="preserve">APQ-BP-003</w:t>
                          </w:r>
                        </w:p>
                      </w:tc>
                      <w:tc>
                        <w:tcPr>
                          <w:tcW w:w="5954" w:type="dxa"/>
                          <w:vMerge w:val="continue"/>
                          <w:tcBorders>
                            <w:top w:val="single" w:sz="12" w:space="0" w:color="000000"/>
                            <w:start w:val="single" w:sz="6" w:space="0" w:color="000000"/>
                            <w:bottom w:val="single" w:sz="4" w:space="0" w:color="000000"/>
                            <w:end w:val="single" w:sz="6" w:space="0" w:color="000000"/>
                          </w:tcBorders>
                          <w:vAlign w:val="center"/>
                        </w:tcPr>
                        <w:p>
                          <w:pPr>
                            <w:pStyle w:val="Header"/>
                            <w:rPr>
                              <w:rFonts w:cs="Arial"/>
                              <w:sz w:val="21"/>
                              <w:szCs w:val="20"/>
                            </w:rPr>
                          </w:pPr>
                          <w:r>
                            <w:rPr>
                              <w:rFonts w:cs="Arial"/>
                              <w:sz w:val="21"/>
                              <w:szCs w:val="20"/>
                            </w:rPr>
                          </w:r>
                        </w:p>
                      </w:tc>
                      <w:tc>
                        <w:tcPr>
                          <w:tcW w:w="1636" w:type="dxa"/>
                          <w:tcBorders>
                            <w:top w:val="single" w:sz="6" w:space="0" w:color="000000"/>
                            <w:start w:val="single" w:sz="6" w:space="0" w:color="000000"/>
                            <w:bottom w:val="single" w:sz="12" w:space="0" w:color="000000"/>
                            <w:end w:val="single" w:sz="12" w:space="0" w:color="000000"/>
                          </w:tcBorders>
                        </w:tcPr>
                        <w:p>
                          <w:pPr>
                            <w:pStyle w:val="Header"/>
                            <w:tabs>
                              <w:tab w:val="clear" w:pos="840"/>
                              <w:tab w:val="center" w:pos="1032" w:leader="none"/>
                            </w:tabs>
                            <w:rPr>
                              <w:rFonts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="Arial"/>
                              <w:sz w:val="21"/>
                            </w:rPr>
                            <w:t xml:space="preserve">Versão: 2-3</w:t>
                          </w:r>
                        </w:p>
                      </w:tc>
                    </w:tr>
                  </w:tbl>
                </w:txbxContent>
              </v:textbox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30"/>
  <w:defaultTabStop w:val="84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napToGrid w:val="false"/>
    </w:pPr>
    <w:rPr>
      <w:rFonts w:ascii="Arial" w:hAnsi="Arial" w:eastAsia="ＭＳ 明朝;MS Mincho" w:cs="Arial"/>
      <w:color w:val="auto"/>
      <w:kern w:val="2"/>
      <w:sz w:val="20"/>
      <w:szCs w:val="22"/>
      <w:lang w:val="en-US" w:bidi="ar-SA" w:eastAsia="zh-CN"/>
    </w:rPr>
  </w:style>
  <w:style w:type="character" w:styleId="WW8Num1z0">
    <w:name w:val="WW8Num1z0"/>
    <w:qFormat/>
    <w:rPr>
      <w:rFonts w:ascii="ＭＳ 明朝;MS Mincho" w:hAnsi="ＭＳ 明朝;MS Mincho" w:eastAsia="ＭＳ 明朝;MS Mincho" w:cs="Times New Roman"/>
    </w:rPr>
  </w:style>
  <w:style w:type="character" w:styleId="WW8Num1z1">
    <w:name w:val="WW8Num1z1"/>
    <w:qFormat/>
    <w:rPr>
      <w:rFonts w:ascii="Wingdings" w:hAnsi="Wingdings" w:cs="Wingdings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ＭＳ 明朝;MS Mincho" w:hAnsi="ＭＳ 明朝;MS Mincho" w:eastAsia="ＭＳ 明朝;MS Mincho" w:cs="Times New Roman"/>
    </w:rPr>
  </w:style>
  <w:style w:type="character" w:styleId="WW8Num7z1">
    <w:name w:val="WW8Num7z1"/>
    <w:qFormat/>
    <w:rPr>
      <w:rFonts w:ascii="Wingdings" w:hAnsi="Wingdings" w:cs="Wingdings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ＭＳ 明朝;MS Mincho" w:hAnsi="ＭＳ 明朝;MS Mincho" w:eastAsia="ＭＳ 明朝;MS Mincho" w:cs="Times New Roman"/>
    </w:rPr>
  </w:style>
  <w:style w:type="character" w:styleId="WW8Num11z1">
    <w:name w:val="WW8Num11z1"/>
    <w:qFormat/>
    <w:rPr>
      <w:rFonts w:ascii="Wingdings" w:hAnsi="Wingdings" w:cs="Wingdings"/>
    </w:rPr>
  </w:style>
  <w:style w:type="character" w:styleId="Style14">
    <w:name w:val="段落フォント"/>
    <w:qFormat/>
    <w:rPr/>
  </w:style>
  <w:style w:type="character" w:styleId="Asciithin">
    <w:name w:val="ascii thin"/>
    <w:basedOn w:val="Style14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84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5">
    <w:name w:val="吹き出し"/>
    <w:basedOn w:val="Normal"/>
    <w:qFormat/>
    <w:pPr/>
    <w:rPr>
      <w:rFonts w:eastAsia="ＭＳ ゴシック;MS Gothic"/>
      <w:sz w:val="18"/>
      <w:szCs w:val="18"/>
    </w:rPr>
  </w:style>
  <w:style w:type="paragraph" w:styleId="105pt">
    <w:name w:val="標準 + 10.5 pt"/>
    <w:basedOn w:val="Normal"/>
    <w:qFormat/>
    <w:pPr>
      <w:spacing w:lineRule="auto" w:line="288"/>
      <w:ind w:start="44" w:hanging="0"/>
    </w:pPr>
    <w:rPr>
      <w:rFonts w:cs="ＭＳ 明朝;MS Mincho"/>
      <w:szCs w:val="20"/>
    </w:rPr>
  </w:style>
  <w:style w:type="paragraph" w:styleId="1">
    <w:name w:val="(1)"/>
    <w:basedOn w:val="Normal"/>
    <w:qFormat/>
    <w:pPr>
      <w:ind w:start="692" w:hanging="484"/>
    </w:pPr>
    <w:rPr>
      <w:rFonts w:eastAsia="ＭＳ Ｐゴシック" w:cs="Arial"/>
      <w:color w:val="000000"/>
      <w:kern w:val="0"/>
      <w:szCs w:val="20"/>
      <w:lang w:eastAsia="ja-JP"/>
    </w:rPr>
  </w:style>
  <w:style w:type="paragraph" w:styleId="11">
    <w:name w:val="1."/>
    <w:basedOn w:val="Normal"/>
    <w:qFormat/>
    <w:pPr>
      <w:ind w:start="350" w:hanging="350"/>
    </w:pPr>
    <w:rPr>
      <w:rFonts w:eastAsia="ＭＳ Ｐゴシック" w:cs="Arial"/>
      <w:kern w:val="0"/>
      <w:szCs w:val="20"/>
      <w:lang w:eastAsia="ja-JP"/>
    </w:rPr>
  </w:style>
  <w:style w:type="paragraph" w:styleId="111">
    <w:name w:val="1.1"/>
    <w:basedOn w:val="Normal"/>
    <w:qFormat/>
    <w:pPr>
      <w:ind w:start="658" w:hanging="469"/>
    </w:pPr>
    <w:rPr>
      <w:rFonts w:eastAsia="ＭＳ Ｐゴシック" w:cs="Arial"/>
      <w:color w:val="000000"/>
      <w:kern w:val="0"/>
      <w:szCs w:val="20"/>
      <w:lang w:eastAsia="ja-JP"/>
    </w:rPr>
  </w:style>
  <w:style w:type="paragraph" w:styleId="Bun">
    <w:name w:val="bun"/>
    <w:basedOn w:val="Normal"/>
    <w:qFormat/>
    <w:pPr>
      <w:ind w:firstLine="4"/>
    </w:pPr>
    <w:rPr>
      <w:rFonts w:eastAsia="ＭＳ Ｐゴシック" w:cs="Arial"/>
      <w:kern w:val="0"/>
      <w:szCs w:val="20"/>
      <w:lang w:eastAsia="ja-JP"/>
    </w:rPr>
  </w:style>
  <w:style w:type="paragraph" w:styleId="Ten">
    <w:name w:val="ten"/>
    <w:basedOn w:val="Normal"/>
    <w:qFormat/>
    <w:pPr>
      <w:ind w:start="858" w:hanging="224"/>
    </w:pPr>
    <w:rPr>
      <w:kern w:val="0"/>
      <w:sz w:val="21"/>
      <w:szCs w:val="21"/>
      <w:lang w:eastAsia="ja-JP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Relationship Id="r_odt_hyperlink" Type="http://schemas.openxmlformats.org/officeDocument/2006/relationships/hyperlink" Target="https://www.onlinedoctranslator.com/pt/?utm_source=onlinedoctranslator&amp;utm_medium=doc&amp;utm_campaign=attribution" TargetMode="External"/><Relationship Id="r_odt_logo" Type="http://schemas.openxmlformats.org/officeDocument/2006/relationships/image" Target="media/odt_attribution_logo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LibreOffice/7.0.6.2$Linux_X86_64 LibreOffice_project/00$Build-2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2019-04-19T06:13:00Z</dcterms:created>
  <dc:creator>TERADA_Haruhiro_terada.haruhiro@jp.panasonic.com</dc:creator>
  <dc:description/>
  <cp:keywords> </cp:keywords>
  <dc:language>en-US</dc:language>
  <cp:lastModifiedBy>Yamada Yoshihisa (山田 芳久)</cp:lastModifiedBy>
  <cp:lastPrinted>2014-04-03T14:59:00Z</cp:lastPrinted>
  <dcterms:modified xsi:type="dcterms:W3CDTF">2019-04-24T07:07:00Z</dcterms:modified>
  <cp:revision>7</cp:revision>
  <dc:subject/>
  <dc:title>１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xml">
    <vt:lpwstr>3.00000000000000</vt:lpwstr>
  </property>
</Properties>
</file>