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34"/>
        <w:gridCol w:w="4368"/>
        <w:gridCol w:w="1363"/>
        <w:gridCol w:w="1099"/>
      </w:tblGrid>
      <w:tr w:rsidR="006C3DE2" w:rsidRPr="006C3DE2" w14:paraId="00BE9BE9" w14:textId="77777777" w:rsidTr="00B00A3D">
        <w:tc>
          <w:tcPr>
            <w:tcW w:w="2434" w:type="dxa"/>
            <w:tcBorders>
              <w:bottom w:val="nil"/>
            </w:tcBorders>
            <w:shd w:val="clear" w:color="auto" w:fill="FFFFFF"/>
            <w:vAlign w:val="bottom"/>
          </w:tcPr>
          <w:p w14:paraId="6A413858" w14:textId="77777777" w:rsidR="00B00A3D" w:rsidRPr="006C3DE2" w:rsidRDefault="00B00A3D" w:rsidP="00B00A3D">
            <w:pPr>
              <w:spacing w:line="210" w:lineRule="exact"/>
              <w:ind w:left="118"/>
            </w:pPr>
            <w:r w:rsidRPr="006C3DE2">
              <w:rPr>
                <w:rStyle w:val="Textodocorpo20"/>
                <w:rFonts w:eastAsia="Microsoft Sans Serif"/>
              </w:rPr>
              <w:t>Standard:</w:t>
            </w:r>
          </w:p>
        </w:tc>
        <w:tc>
          <w:tcPr>
            <w:tcW w:w="4368" w:type="dxa"/>
            <w:shd w:val="clear" w:color="auto" w:fill="FFFFFF"/>
            <w:vAlign w:val="bottom"/>
          </w:tcPr>
          <w:p w14:paraId="631B792F" w14:textId="77777777" w:rsidR="00B00A3D" w:rsidRPr="006C3DE2" w:rsidRDefault="00B00A3D" w:rsidP="00B00A3D">
            <w:pPr>
              <w:spacing w:line="210" w:lineRule="exact"/>
              <w:ind w:left="118"/>
              <w:rPr>
                <w:b/>
                <w:bCs/>
              </w:rPr>
            </w:pPr>
            <w:r w:rsidRPr="006C3DE2">
              <w:rPr>
                <w:rStyle w:val="Textodocorpo20"/>
                <w:rFonts w:eastAsia="Microsoft Sans Serif"/>
                <w:b/>
                <w:bCs/>
              </w:rPr>
              <w:t>NGOs</w:t>
            </w:r>
          </w:p>
        </w:tc>
        <w:tc>
          <w:tcPr>
            <w:tcW w:w="1363" w:type="dxa"/>
            <w:shd w:val="clear" w:color="auto" w:fill="FFFFFF"/>
            <w:vAlign w:val="bottom"/>
          </w:tcPr>
          <w:p w14:paraId="3004EB86" w14:textId="77777777" w:rsidR="00B00A3D" w:rsidRPr="006C3DE2" w:rsidRDefault="00B00A3D" w:rsidP="00B00A3D">
            <w:pPr>
              <w:spacing w:line="210" w:lineRule="exact"/>
              <w:ind w:left="118"/>
            </w:pPr>
            <w:r w:rsidRPr="006C3DE2">
              <w:rPr>
                <w:rStyle w:val="Textodocorpo20"/>
                <w:rFonts w:eastAsia="Microsoft Sans Serif"/>
              </w:rPr>
              <w:t>Revision no:.</w:t>
            </w:r>
          </w:p>
        </w:tc>
        <w:tc>
          <w:tcPr>
            <w:tcW w:w="1099" w:type="dxa"/>
            <w:shd w:val="clear" w:color="auto" w:fill="FFFFFF"/>
            <w:vAlign w:val="bottom"/>
          </w:tcPr>
          <w:p w14:paraId="47CC394A" w14:textId="77777777" w:rsidR="00B00A3D" w:rsidRPr="006C3DE2" w:rsidRDefault="00B00A3D" w:rsidP="00B00A3D">
            <w:pPr>
              <w:spacing w:line="210" w:lineRule="exact"/>
              <w:ind w:left="118"/>
            </w:pPr>
            <w:r w:rsidRPr="006C3DE2">
              <w:rPr>
                <w:rStyle w:val="Textodocorpo20"/>
                <w:rFonts w:eastAsia="Microsoft Sans Serif"/>
              </w:rPr>
              <w:t>4</w:t>
            </w:r>
          </w:p>
        </w:tc>
      </w:tr>
      <w:tr w:rsidR="006C3DE2" w:rsidRPr="006C3DE2" w14:paraId="3F35CE8E" w14:textId="77777777" w:rsidTr="00B00A3D">
        <w:tc>
          <w:tcPr>
            <w:tcW w:w="2434" w:type="dxa"/>
            <w:tcBorders>
              <w:top w:val="nil"/>
            </w:tcBorders>
            <w:shd w:val="clear" w:color="auto" w:fill="FFFFFF"/>
            <w:vAlign w:val="bottom"/>
          </w:tcPr>
          <w:p w14:paraId="2B6FECD2" w14:textId="77777777" w:rsidR="00B00A3D" w:rsidRPr="006C3DE2" w:rsidRDefault="00B00A3D" w:rsidP="00B00A3D">
            <w:pPr>
              <w:spacing w:line="210" w:lineRule="exact"/>
              <w:ind w:left="118"/>
            </w:pPr>
            <w:r w:rsidRPr="006C3DE2">
              <w:rPr>
                <w:rStyle w:val="Textodocorpo20"/>
                <w:rFonts w:eastAsia="Microsoft Sans Serif"/>
              </w:rPr>
              <w:t>General Conditions</w:t>
            </w:r>
          </w:p>
        </w:tc>
        <w:tc>
          <w:tcPr>
            <w:tcW w:w="4368" w:type="dxa"/>
            <w:shd w:val="clear" w:color="auto" w:fill="FFFFFF"/>
            <w:vAlign w:val="bottom"/>
          </w:tcPr>
          <w:p w14:paraId="7FDD1073" w14:textId="77777777" w:rsidR="00B00A3D" w:rsidRPr="006C3DE2" w:rsidRDefault="00B00A3D" w:rsidP="00B00A3D">
            <w:pPr>
              <w:spacing w:line="210" w:lineRule="exact"/>
              <w:ind w:left="118"/>
              <w:rPr>
                <w:b/>
                <w:bCs/>
              </w:rPr>
            </w:pPr>
            <w:r w:rsidRPr="006C3DE2">
              <w:rPr>
                <w:rStyle w:val="Textodocorpo20"/>
                <w:rFonts w:eastAsia="Microsoft Sans Serif"/>
                <w:b/>
                <w:bCs/>
              </w:rPr>
              <w:t>Grant Management Regime I and II</w:t>
            </w:r>
          </w:p>
        </w:tc>
        <w:tc>
          <w:tcPr>
            <w:tcW w:w="1363" w:type="dxa"/>
            <w:shd w:val="clear" w:color="auto" w:fill="FFFFFF"/>
            <w:vAlign w:val="bottom"/>
          </w:tcPr>
          <w:p w14:paraId="5ECD0127" w14:textId="77777777" w:rsidR="00B00A3D" w:rsidRPr="006C3DE2" w:rsidRDefault="00B00A3D" w:rsidP="00B00A3D">
            <w:pPr>
              <w:spacing w:line="210" w:lineRule="exact"/>
              <w:ind w:left="118"/>
            </w:pPr>
            <w:r w:rsidRPr="006C3DE2">
              <w:rPr>
                <w:rStyle w:val="Textodocorpo20"/>
                <w:rFonts w:eastAsia="Microsoft Sans Serif"/>
              </w:rPr>
              <w:t>Date:</w:t>
            </w:r>
          </w:p>
        </w:tc>
        <w:tc>
          <w:tcPr>
            <w:tcW w:w="1099" w:type="dxa"/>
            <w:shd w:val="clear" w:color="auto" w:fill="FFFFFF"/>
            <w:vAlign w:val="bottom"/>
          </w:tcPr>
          <w:p w14:paraId="79B210A7" w14:textId="77777777" w:rsidR="00B00A3D" w:rsidRPr="006C3DE2" w:rsidRDefault="00B00A3D" w:rsidP="00B00A3D">
            <w:pPr>
              <w:spacing w:line="210" w:lineRule="exact"/>
              <w:ind w:left="118"/>
            </w:pPr>
            <w:r w:rsidRPr="006C3DE2">
              <w:rPr>
                <w:rStyle w:val="Textodocorpo20"/>
                <w:rFonts w:eastAsia="Microsoft Sans Serif"/>
              </w:rPr>
              <w:t>April 2022</w:t>
            </w:r>
          </w:p>
        </w:tc>
      </w:tr>
    </w:tbl>
    <w:p w14:paraId="4A3A30BE" w14:textId="278BB033" w:rsidR="00B00A3D" w:rsidRPr="006C3DE2" w:rsidRDefault="00B00A3D" w:rsidP="00B00A3D">
      <w:pPr>
        <w:rPr>
          <w:rFonts w:ascii="Times New Roman" w:hAnsi="Times New Roman" w:cs="Times New Roman"/>
          <w:sz w:val="21"/>
          <w:szCs w:val="21"/>
        </w:rPr>
      </w:pPr>
    </w:p>
    <w:p w14:paraId="6B9F42C8" w14:textId="77777777" w:rsidR="00B00A3D" w:rsidRPr="006C3DE2" w:rsidRDefault="00B00A3D" w:rsidP="00B00A3D">
      <w:pPr>
        <w:pStyle w:val="Ttulo50"/>
        <w:shd w:val="clear" w:color="auto" w:fill="auto"/>
        <w:spacing w:before="360" w:after="232"/>
        <w:ind w:right="80"/>
      </w:pPr>
      <w:bookmarkStart w:id="0" w:name="bookmark0"/>
      <w:r w:rsidRPr="006C3DE2">
        <w:rPr>
          <w:color w:val="000000"/>
          <w:lang w:bidi="en-US"/>
        </w:rPr>
        <w:t>PART II: GENERAL CONDITIONS</w:t>
      </w:r>
      <w:r w:rsidRPr="006C3DE2">
        <w:rPr>
          <w:color w:val="000000"/>
          <w:lang w:bidi="en-US"/>
        </w:rPr>
        <w:br/>
        <w:t>APPLICCABLE TO GRANTS FROM</w:t>
      </w:r>
      <w:r w:rsidRPr="006C3DE2">
        <w:rPr>
          <w:color w:val="000000"/>
          <w:lang w:bidi="en-US"/>
        </w:rPr>
        <w:br/>
        <w:t>THE NORWEGIAN MINISTRY OF FOREIGN AFFAIRS</w:t>
      </w:r>
      <w:bookmarkEnd w:id="0"/>
    </w:p>
    <w:p w14:paraId="57D1DAF5" w14:textId="77777777" w:rsidR="00B00A3D" w:rsidRPr="006C3DE2" w:rsidRDefault="00B00A3D" w:rsidP="00B00A3D">
      <w:pPr>
        <w:spacing w:before="360" w:after="240" w:line="210" w:lineRule="exact"/>
        <w:ind w:left="360"/>
        <w:rPr>
          <w:rFonts w:ascii="Times New Roman" w:hAnsi="Times New Roman" w:cs="Times New Roman"/>
          <w:b/>
          <w:bCs/>
        </w:rPr>
      </w:pPr>
      <w:r w:rsidRPr="006C3DE2">
        <w:rPr>
          <w:rFonts w:ascii="Times New Roman" w:hAnsi="Times New Roman" w:cs="Times New Roman"/>
          <w:b/>
          <w:bCs/>
        </w:rPr>
        <w:t>TABLE OF CONTENTS</w:t>
      </w:r>
    </w:p>
    <w:p w14:paraId="28C9BCDA"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1" w:tooltip="Current Document">
        <w:r w:rsidR="00B00A3D" w:rsidRPr="006C3DE2">
          <w:rPr>
            <w:rStyle w:val="Sumrio5Char"/>
          </w:rPr>
          <w:t>WORK PLAN AND BUDGET</w:t>
        </w:r>
        <w:r w:rsidR="00B00A3D" w:rsidRPr="006C3DE2">
          <w:rPr>
            <w:rStyle w:val="Sumrio5Char"/>
          </w:rPr>
          <w:tab/>
          <w:t>2</w:t>
        </w:r>
      </w:hyperlink>
    </w:p>
    <w:p w14:paraId="5E5EB47C"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2" w:tooltip="Current Document">
        <w:r w:rsidR="00B00A3D" w:rsidRPr="006C3DE2">
          <w:rPr>
            <w:rStyle w:val="Sumrio5Char"/>
          </w:rPr>
          <w:t>PROGRESS REPORT</w:t>
        </w:r>
        <w:r w:rsidR="00B00A3D" w:rsidRPr="006C3DE2">
          <w:rPr>
            <w:rStyle w:val="Sumrio5Char"/>
          </w:rPr>
          <w:tab/>
          <w:t>2</w:t>
        </w:r>
      </w:hyperlink>
    </w:p>
    <w:p w14:paraId="723EE936"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3" w:tooltip="Current Document">
        <w:r w:rsidR="00B00A3D" w:rsidRPr="006C3DE2">
          <w:rPr>
            <w:rStyle w:val="Sumrio5Char"/>
          </w:rPr>
          <w:t>FINANCIAL REPORT</w:t>
        </w:r>
        <w:r w:rsidR="00B00A3D" w:rsidRPr="006C3DE2">
          <w:rPr>
            <w:rStyle w:val="Sumrio5Char"/>
          </w:rPr>
          <w:tab/>
          <w:t>2</w:t>
        </w:r>
      </w:hyperlink>
    </w:p>
    <w:p w14:paraId="7285B998" w14:textId="77777777" w:rsidR="00B00A3D" w:rsidRPr="006C3DE2" w:rsidRDefault="00B00A3D" w:rsidP="002038B7">
      <w:pPr>
        <w:pStyle w:val="Sumrio5"/>
      </w:pPr>
      <w:r w:rsidRPr="006C3DE2">
        <w:t>FINAL REPORT</w:t>
      </w:r>
      <w:r w:rsidRPr="006C3DE2">
        <w:tab/>
        <w:t>3</w:t>
      </w:r>
    </w:p>
    <w:p w14:paraId="0F2DFB86"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4" w:tooltip="Current Document">
        <w:r w:rsidR="00B00A3D" w:rsidRPr="006C3DE2">
          <w:rPr>
            <w:rStyle w:val="Sumrio5Char"/>
          </w:rPr>
          <w:t>AUDIT</w:t>
        </w:r>
        <w:r w:rsidR="00B00A3D" w:rsidRPr="006C3DE2">
          <w:rPr>
            <w:rStyle w:val="Sumrio5Char"/>
          </w:rPr>
          <w:tab/>
          <w:t>3</w:t>
        </w:r>
      </w:hyperlink>
    </w:p>
    <w:p w14:paraId="72170E88" w14:textId="0725CD2F" w:rsidR="00B00A3D" w:rsidRPr="006C3DE2" w:rsidRDefault="00000000" w:rsidP="00B00A3D">
      <w:pPr>
        <w:pStyle w:val="Sumrio6"/>
        <w:tabs>
          <w:tab w:val="clear" w:pos="788"/>
          <w:tab w:val="left" w:pos="709"/>
          <w:tab w:val="left" w:leader="dot" w:pos="8647"/>
        </w:tabs>
        <w:spacing w:line="360" w:lineRule="auto"/>
        <w:ind w:right="708"/>
      </w:pPr>
      <w:hyperlink w:anchor="bookmark5" w:tooltip="Current Document">
        <w:r w:rsidR="00B00A3D" w:rsidRPr="006C3DE2">
          <w:rPr>
            <w:rStyle w:val="Sumrio5Char"/>
          </w:rPr>
          <w:t>CONTROL MEASURES</w:t>
        </w:r>
        <w:r w:rsidR="00B00A3D" w:rsidRPr="006C3DE2">
          <w:rPr>
            <w:rStyle w:val="Sumrio5Char"/>
          </w:rPr>
          <w:tab/>
          <w:t>4</w:t>
        </w:r>
      </w:hyperlink>
    </w:p>
    <w:p w14:paraId="799562DA" w14:textId="77777777" w:rsidR="00B00A3D" w:rsidRPr="006C3DE2" w:rsidRDefault="00B00A3D" w:rsidP="002038B7">
      <w:pPr>
        <w:pStyle w:val="Sumrio5"/>
      </w:pPr>
      <w:r w:rsidRPr="006C3DE2">
        <w:t>FINANCIAL MANAGEMENT</w:t>
      </w:r>
      <w:r w:rsidRPr="006C3DE2">
        <w:tab/>
        <w:t>4</w:t>
      </w:r>
    </w:p>
    <w:p w14:paraId="72FE3150"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6" w:tooltip="Current Document">
        <w:r w:rsidR="00B00A3D" w:rsidRPr="006C3DE2">
          <w:rPr>
            <w:rStyle w:val="Sumrio5Char"/>
          </w:rPr>
          <w:t>EXCHANGE RATE FLUCTUATIONS</w:t>
        </w:r>
        <w:r w:rsidR="00B00A3D" w:rsidRPr="006C3DE2">
          <w:rPr>
            <w:rStyle w:val="Sumrio5Char"/>
          </w:rPr>
          <w:tab/>
          <w:t>5</w:t>
        </w:r>
      </w:hyperlink>
    </w:p>
    <w:p w14:paraId="1CB6CE77"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7" w:tooltip="Current Document">
        <w:r w:rsidR="00B00A3D" w:rsidRPr="006C3DE2">
          <w:rPr>
            <w:rStyle w:val="Sumrio5Char"/>
          </w:rPr>
          <w:t>EQUIPMENT, CONSUMABLES AND INTELLECTUAL PROPERTY RIGHTS</w:t>
        </w:r>
        <w:r w:rsidR="00B00A3D" w:rsidRPr="006C3DE2">
          <w:rPr>
            <w:rStyle w:val="Sumrio5Char"/>
          </w:rPr>
          <w:tab/>
          <w:t>5</w:t>
        </w:r>
      </w:hyperlink>
    </w:p>
    <w:p w14:paraId="2C1B5D36"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8" w:tooltip="Current Document">
        <w:r w:rsidR="00B00A3D" w:rsidRPr="006C3DE2">
          <w:rPr>
            <w:rStyle w:val="Sumrio5Char"/>
          </w:rPr>
          <w:t>REAL PROPERTY</w:t>
        </w:r>
        <w:r w:rsidR="00B00A3D" w:rsidRPr="006C3DE2">
          <w:rPr>
            <w:rStyle w:val="Sumrio5Char"/>
          </w:rPr>
          <w:tab/>
          <w:t>6</w:t>
        </w:r>
      </w:hyperlink>
    </w:p>
    <w:p w14:paraId="30D39A03"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9" w:tooltip="Current Document">
        <w:r w:rsidR="00B00A3D" w:rsidRPr="006C3DE2">
          <w:rPr>
            <w:rStyle w:val="Sumrio5Char"/>
          </w:rPr>
          <w:t>TRANSFER OF THE GRANT TO A COOPERATING PARTNER</w:t>
        </w:r>
        <w:r w:rsidR="00B00A3D" w:rsidRPr="006C3DE2">
          <w:rPr>
            <w:rStyle w:val="Sumrio5Char"/>
          </w:rPr>
          <w:tab/>
          <w:t>6</w:t>
        </w:r>
      </w:hyperlink>
    </w:p>
    <w:p w14:paraId="5DEC3914" w14:textId="665E4C24" w:rsidR="00B00A3D" w:rsidRPr="006C3DE2" w:rsidRDefault="00B00A3D" w:rsidP="002038B7">
      <w:pPr>
        <w:pStyle w:val="Sumrio5"/>
      </w:pPr>
      <w:r w:rsidRPr="006C3DE2">
        <w:t>CHANGES OR CIRCUMSTANCES AFFECTING THE PROJECT OR THE GRANT RECIPIENT</w:t>
      </w:r>
      <w:r w:rsidRPr="006C3DE2">
        <w:tab/>
        <w:t>7</w:t>
      </w:r>
    </w:p>
    <w:p w14:paraId="4A56A016" w14:textId="749B1CBA" w:rsidR="00B00A3D" w:rsidRPr="006C3DE2" w:rsidRDefault="00000000" w:rsidP="00B00A3D">
      <w:pPr>
        <w:pStyle w:val="Sumrio6"/>
        <w:tabs>
          <w:tab w:val="clear" w:pos="788"/>
          <w:tab w:val="left" w:pos="709"/>
          <w:tab w:val="left" w:leader="dot" w:pos="8647"/>
        </w:tabs>
        <w:spacing w:line="360" w:lineRule="auto"/>
        <w:ind w:right="708"/>
      </w:pPr>
      <w:hyperlink w:anchor="bookmark11" w:tooltip="Current Document">
        <w:r w:rsidR="00B00A3D" w:rsidRPr="006C3DE2">
          <w:rPr>
            <w:rStyle w:val="Sumrio5Char"/>
          </w:rPr>
          <w:t>EXTENSION OF THE SUPPORT PERIOD</w:t>
        </w:r>
        <w:r w:rsidR="00B00A3D" w:rsidRPr="006C3DE2">
          <w:rPr>
            <w:rStyle w:val="Sumrio5Char"/>
          </w:rPr>
          <w:tab/>
          <w:t>7</w:t>
        </w:r>
      </w:hyperlink>
    </w:p>
    <w:p w14:paraId="78485470" w14:textId="77777777" w:rsidR="00B00A3D" w:rsidRPr="006C3DE2" w:rsidRDefault="00B00A3D" w:rsidP="002038B7">
      <w:pPr>
        <w:pStyle w:val="Sumrio5"/>
      </w:pPr>
      <w:r w:rsidRPr="006C3DE2">
        <w:t>TRANSPARENCY</w:t>
      </w:r>
      <w:r w:rsidRPr="006C3DE2">
        <w:tab/>
        <w:t>7</w:t>
      </w:r>
    </w:p>
    <w:p w14:paraId="09DC54D6" w14:textId="77777777" w:rsidR="00B00A3D" w:rsidRPr="006C3DE2" w:rsidRDefault="00B00A3D" w:rsidP="002038B7">
      <w:pPr>
        <w:pStyle w:val="Sumrio5"/>
      </w:pPr>
      <w:r w:rsidRPr="006C3DE2">
        <w:t>FINANCIAL IRREGULARITIES</w:t>
      </w:r>
      <w:r w:rsidRPr="006C3DE2">
        <w:tab/>
        <w:t>7</w:t>
      </w:r>
    </w:p>
    <w:p w14:paraId="64AF4ADD"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12" w:tooltip="Current Document">
        <w:r w:rsidR="00B00A3D" w:rsidRPr="006C3DE2">
          <w:rPr>
            <w:rStyle w:val="Sumrio5Char"/>
          </w:rPr>
          <w:t>SEXUAL EXPLOITATION, ABUSE AND HARASSMENT</w:t>
        </w:r>
        <w:r w:rsidR="00B00A3D" w:rsidRPr="006C3DE2">
          <w:rPr>
            <w:rStyle w:val="Sumrio5Char"/>
          </w:rPr>
          <w:tab/>
          <w:t>8</w:t>
        </w:r>
      </w:hyperlink>
    </w:p>
    <w:p w14:paraId="33D7F82C"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13" w:tooltip="Current Document">
        <w:r w:rsidR="00B00A3D" w:rsidRPr="006C3DE2">
          <w:rPr>
            <w:rStyle w:val="Sumrio5Char"/>
          </w:rPr>
          <w:t>CONFLICT OF INTEREST</w:t>
        </w:r>
        <w:r w:rsidR="00B00A3D" w:rsidRPr="006C3DE2">
          <w:rPr>
            <w:rStyle w:val="Sumrio5Char"/>
          </w:rPr>
          <w:tab/>
          <w:t>9</w:t>
        </w:r>
      </w:hyperlink>
    </w:p>
    <w:p w14:paraId="7F587B6F"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14" w:tooltip="Current Document">
        <w:r w:rsidR="00B00A3D" w:rsidRPr="006C3DE2">
          <w:rPr>
            <w:rStyle w:val="Sumrio5Char"/>
          </w:rPr>
          <w:t>BREACH OF THE AGREEMENT</w:t>
        </w:r>
        <w:r w:rsidR="00B00A3D" w:rsidRPr="006C3DE2">
          <w:rPr>
            <w:rStyle w:val="Sumrio5Char"/>
          </w:rPr>
          <w:tab/>
          <w:t>9</w:t>
        </w:r>
      </w:hyperlink>
    </w:p>
    <w:p w14:paraId="00844E29"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15" w:tooltip="Current Document">
        <w:r w:rsidR="00B00A3D" w:rsidRPr="006C3DE2">
          <w:rPr>
            <w:rStyle w:val="Sumrio5Char"/>
          </w:rPr>
          <w:t>TERMINATION OF THE AGREEMENT</w:t>
        </w:r>
        <w:r w:rsidR="00B00A3D" w:rsidRPr="006C3DE2">
          <w:rPr>
            <w:rStyle w:val="Sumrio5Char"/>
          </w:rPr>
          <w:tab/>
          <w:t>10</w:t>
        </w:r>
      </w:hyperlink>
    </w:p>
    <w:p w14:paraId="6EB71FAF"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16" w:tooltip="Current Document">
        <w:r w:rsidR="00B00A3D" w:rsidRPr="006C3DE2">
          <w:rPr>
            <w:rStyle w:val="Sumrio5Char"/>
          </w:rPr>
          <w:t>WAIVER AND IMMUNITIES</w:t>
        </w:r>
        <w:r w:rsidR="00B00A3D" w:rsidRPr="006C3DE2">
          <w:rPr>
            <w:rStyle w:val="Sumrio5Char"/>
          </w:rPr>
          <w:tab/>
          <w:t>10</w:t>
        </w:r>
      </w:hyperlink>
    </w:p>
    <w:p w14:paraId="02475D89" w14:textId="3688F45A"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17" w:tooltip="Current Document">
        <w:r w:rsidR="00B00A3D" w:rsidRPr="006C3DE2">
          <w:rPr>
            <w:rStyle w:val="Sumrio5Char"/>
          </w:rPr>
          <w:t>LIABILITY</w:t>
        </w:r>
      </w:hyperlink>
      <w:r w:rsidR="00B00A3D" w:rsidRPr="006C3DE2">
        <w:rPr>
          <w:rStyle w:val="Sumrio5Char"/>
        </w:rPr>
        <w:t xml:space="preserve"> </w:t>
      </w:r>
      <w:r w:rsidR="00B00A3D" w:rsidRPr="006C3DE2">
        <w:rPr>
          <w:rStyle w:val="Sumrio5Char"/>
        </w:rPr>
        <w:tab/>
        <w:t>11</w:t>
      </w:r>
    </w:p>
    <w:p w14:paraId="06DC1170"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18" w:tooltip="Current Document">
        <w:r w:rsidR="00B00A3D" w:rsidRPr="006C3DE2">
          <w:rPr>
            <w:rStyle w:val="Sumrio5Char"/>
          </w:rPr>
          <w:t>ASSIGNMENT</w:t>
        </w:r>
        <w:r w:rsidR="00B00A3D" w:rsidRPr="006C3DE2">
          <w:rPr>
            <w:rStyle w:val="Sumrio5Char"/>
          </w:rPr>
          <w:tab/>
          <w:t>11</w:t>
        </w:r>
      </w:hyperlink>
    </w:p>
    <w:p w14:paraId="43959FCD"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19" w:tooltip="Current Document">
        <w:r w:rsidR="00B00A3D" w:rsidRPr="006C3DE2">
          <w:rPr>
            <w:rStyle w:val="Sumrio5Char"/>
          </w:rPr>
          <w:t>RECOGNITION AND PUBLICATION</w:t>
        </w:r>
        <w:r w:rsidR="00B00A3D" w:rsidRPr="006C3DE2">
          <w:rPr>
            <w:rStyle w:val="Sumrio5Char"/>
          </w:rPr>
          <w:tab/>
          <w:t>11</w:t>
        </w:r>
      </w:hyperlink>
    </w:p>
    <w:p w14:paraId="5E204916" w14:textId="3F12FD62"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20" w:tooltip="Current Document">
        <w:r w:rsidR="00B00A3D" w:rsidRPr="006C3DE2">
          <w:rPr>
            <w:rStyle w:val="Sumrio5Char"/>
          </w:rPr>
          <w:t>ENTRY INTO FORCE, DURATION AND AMENDMENT</w:t>
        </w:r>
        <w:r w:rsidR="00B00A3D" w:rsidRPr="006C3DE2">
          <w:rPr>
            <w:rStyle w:val="Sumrio5Char"/>
          </w:rPr>
          <w:tab/>
          <w:t>11</w:t>
        </w:r>
      </w:hyperlink>
    </w:p>
    <w:p w14:paraId="17A0C8CE"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21" w:tooltip="Current Document">
        <w:r w:rsidR="00B00A3D" w:rsidRPr="006C3DE2">
          <w:rPr>
            <w:rStyle w:val="Sumrio5Char"/>
          </w:rPr>
          <w:t>CHOICE OF LAW AND SETTLEMENT OF DISPUTES</w:t>
        </w:r>
        <w:r w:rsidR="00B00A3D" w:rsidRPr="006C3DE2">
          <w:rPr>
            <w:rStyle w:val="Sumrio5Char"/>
          </w:rPr>
          <w:tab/>
          <w:t>11</w:t>
        </w:r>
      </w:hyperlink>
    </w:p>
    <w:p w14:paraId="658E1427" w14:textId="77777777" w:rsidR="00B00A3D" w:rsidRPr="006C3DE2" w:rsidRDefault="00B00A3D" w:rsidP="00B00A3D">
      <w:pPr>
        <w:ind w:right="567"/>
        <w:rPr>
          <w:rFonts w:ascii="Times New Roman" w:hAnsi="Times New Roman" w:cs="Times New Roman"/>
          <w:sz w:val="21"/>
          <w:szCs w:val="21"/>
        </w:rPr>
        <w:sectPr w:rsidR="00B00A3D" w:rsidRPr="006C3DE2" w:rsidSect="00B00A3D">
          <w:footerReference w:type="default" r:id="rId8"/>
          <w:footerReference w:type="first" r:id="rId9"/>
          <w:pgSz w:w="11907" w:h="16840" w:code="9"/>
          <w:pgMar w:top="1134" w:right="1134" w:bottom="1134" w:left="1134" w:header="709" w:footer="709" w:gutter="0"/>
          <w:cols w:space="708"/>
          <w:docGrid w:linePitch="360"/>
        </w:sectPr>
      </w:pPr>
    </w:p>
    <w:p w14:paraId="1C3A1407" w14:textId="77777777" w:rsidR="00B00A3D" w:rsidRPr="006C3DE2" w:rsidRDefault="00B00A3D" w:rsidP="006C3DE2">
      <w:pPr>
        <w:pStyle w:val="Ttulo60"/>
        <w:numPr>
          <w:ilvl w:val="0"/>
          <w:numId w:val="2"/>
        </w:numPr>
        <w:shd w:val="clear" w:color="auto" w:fill="auto"/>
        <w:tabs>
          <w:tab w:val="left" w:pos="800"/>
        </w:tabs>
        <w:spacing w:before="0" w:after="201" w:line="276" w:lineRule="auto"/>
        <w:ind w:left="840" w:right="141" w:hanging="540"/>
      </w:pPr>
      <w:bookmarkStart w:id="1" w:name="bookmark1"/>
      <w:r w:rsidRPr="006C3DE2">
        <w:rPr>
          <w:color w:val="000000"/>
          <w:lang w:bidi="en-US"/>
        </w:rPr>
        <w:lastRenderedPageBreak/>
        <w:t>WORK PLAN AND BUDGET</w:t>
      </w:r>
      <w:bookmarkEnd w:id="1"/>
    </w:p>
    <w:p w14:paraId="7B1F10E7" w14:textId="77777777" w:rsidR="00B00A3D" w:rsidRPr="006C3DE2" w:rsidRDefault="00B00A3D" w:rsidP="006C3DE2">
      <w:pPr>
        <w:numPr>
          <w:ilvl w:val="1"/>
          <w:numId w:val="2"/>
        </w:numPr>
        <w:tabs>
          <w:tab w:val="left" w:pos="800"/>
        </w:tabs>
        <w:spacing w:after="192"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Any updated work plan to be submitted in accordance with the Specific Conditions shall be directly related to the results framework.</w:t>
      </w:r>
    </w:p>
    <w:p w14:paraId="71D86F3E" w14:textId="77777777" w:rsidR="00B00A3D" w:rsidRPr="006C3DE2" w:rsidRDefault="00B00A3D" w:rsidP="006C3DE2">
      <w:pPr>
        <w:numPr>
          <w:ilvl w:val="1"/>
          <w:numId w:val="2"/>
        </w:numPr>
        <w:tabs>
          <w:tab w:val="left" w:pos="800"/>
        </w:tabs>
        <w:spacing w:after="336"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Any updated budget to be submitted in accordance with the Specific Conditions shall be based on the approved budget in Annex A and include estimated income to the Project from all sources as well as planned expenditures for the upcoming reporting period. The estimated financial need of the Project in the upcoming reporting period shall be clearly stated.</w:t>
      </w:r>
    </w:p>
    <w:p w14:paraId="17308B25" w14:textId="77777777" w:rsidR="00B00A3D" w:rsidRPr="006C3DE2" w:rsidRDefault="00B00A3D" w:rsidP="006C3DE2">
      <w:pPr>
        <w:pStyle w:val="Ttulo60"/>
        <w:numPr>
          <w:ilvl w:val="0"/>
          <w:numId w:val="2"/>
        </w:numPr>
        <w:shd w:val="clear" w:color="auto" w:fill="auto"/>
        <w:tabs>
          <w:tab w:val="left" w:pos="800"/>
        </w:tabs>
        <w:spacing w:before="0" w:after="209" w:line="276" w:lineRule="auto"/>
        <w:ind w:left="840" w:right="141" w:hanging="540"/>
      </w:pPr>
      <w:bookmarkStart w:id="2" w:name="bookmark2"/>
      <w:r w:rsidRPr="006C3DE2">
        <w:rPr>
          <w:color w:val="000000"/>
          <w:lang w:bidi="en-US"/>
        </w:rPr>
        <w:t>PROGRESS REPORT</w:t>
      </w:r>
      <w:bookmarkEnd w:id="2"/>
    </w:p>
    <w:p w14:paraId="3C56DA64" w14:textId="78866A2E" w:rsidR="00B00A3D" w:rsidRPr="006C3DE2" w:rsidRDefault="00B00A3D" w:rsidP="006C3DE2">
      <w:pPr>
        <w:numPr>
          <w:ilvl w:val="1"/>
          <w:numId w:val="2"/>
        </w:numPr>
        <w:tabs>
          <w:tab w:val="left" w:pos="800"/>
        </w:tabs>
        <w:spacing w:after="219"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 xml:space="preserve">Any progress reports to be submitted in accordance with the Specific Conditions shall describe the results achieved by the Project during the reporting period. The report shall be set up in a way that allows direct comparison with the latest approved Application, work plan and budget, and shall be signed by an </w:t>
      </w:r>
      <w:proofErr w:type="spellStart"/>
      <w:r w:rsidRPr="006C3DE2">
        <w:rPr>
          <w:rFonts w:ascii="Times New Roman" w:hAnsi="Times New Roman" w:cs="Times New Roman"/>
          <w:sz w:val="21"/>
          <w:szCs w:val="21"/>
        </w:rPr>
        <w:t>authorise</w:t>
      </w:r>
      <w:r w:rsidR="00A37445">
        <w:rPr>
          <w:rFonts w:ascii="Times New Roman" w:hAnsi="Times New Roman" w:cs="Times New Roman"/>
          <w:sz w:val="21"/>
          <w:szCs w:val="21"/>
        </w:rPr>
        <w:t>d</w:t>
      </w:r>
      <w:proofErr w:type="spellEnd"/>
      <w:r w:rsidRPr="006C3DE2">
        <w:rPr>
          <w:rFonts w:ascii="Times New Roman" w:hAnsi="Times New Roman" w:cs="Times New Roman"/>
          <w:sz w:val="21"/>
          <w:szCs w:val="21"/>
        </w:rPr>
        <w:t xml:space="preserve"> representative of the Grant Recipient.</w:t>
      </w:r>
    </w:p>
    <w:p w14:paraId="6B0500E6" w14:textId="77777777" w:rsidR="00B00A3D" w:rsidRPr="006C3DE2" w:rsidRDefault="00B00A3D" w:rsidP="006C3DE2">
      <w:pPr>
        <w:numPr>
          <w:ilvl w:val="1"/>
          <w:numId w:val="2"/>
        </w:numPr>
        <w:tabs>
          <w:tab w:val="left" w:pos="800"/>
        </w:tabs>
        <w:spacing w:after="224"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The progress reports shall, as a minimum, include:</w:t>
      </w:r>
    </w:p>
    <w:p w14:paraId="3A0057D7" w14:textId="77777777" w:rsidR="00B00A3D" w:rsidRPr="006C3DE2" w:rsidRDefault="00B00A3D" w:rsidP="006C3DE2">
      <w:pPr>
        <w:numPr>
          <w:ilvl w:val="0"/>
          <w:numId w:val="3"/>
        </w:numPr>
        <w:tabs>
          <w:tab w:val="left" w:pos="1009"/>
        </w:tabs>
        <w:spacing w:line="276" w:lineRule="auto"/>
        <w:ind w:left="1000" w:right="141" w:hanging="340"/>
        <w:rPr>
          <w:rFonts w:ascii="Times New Roman" w:hAnsi="Times New Roman" w:cs="Times New Roman"/>
          <w:sz w:val="21"/>
          <w:szCs w:val="21"/>
        </w:rPr>
      </w:pPr>
      <w:r w:rsidRPr="006C3DE2">
        <w:rPr>
          <w:rFonts w:ascii="Times New Roman" w:hAnsi="Times New Roman" w:cs="Times New Roman"/>
          <w:sz w:val="21"/>
          <w:szCs w:val="21"/>
        </w:rPr>
        <w:t>an account of the results achieved so far by the Project, using the format, indicators and targets of the approved results framework. The overview must:</w:t>
      </w:r>
    </w:p>
    <w:p w14:paraId="123C92C6" w14:textId="77777777" w:rsidR="00904445"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rFonts w:ascii="Times New Roman" w:hAnsi="Times New Roman" w:cs="Times New Roman"/>
          <w:sz w:val="21"/>
          <w:szCs w:val="21"/>
        </w:rPr>
        <w:t xml:space="preserve">show delivered main outputs compared to planned Outputs; </w:t>
      </w:r>
    </w:p>
    <w:p w14:paraId="3C215EE0" w14:textId="77777777" w:rsidR="00904445"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rFonts w:ascii="Times New Roman" w:hAnsi="Times New Roman" w:cs="Times New Roman"/>
          <w:sz w:val="21"/>
          <w:szCs w:val="21"/>
        </w:rPr>
        <w:t xml:space="preserve">show the Project’s progress towards achieving the Outcome: </w:t>
      </w:r>
    </w:p>
    <w:p w14:paraId="3A369651" w14:textId="38D77146" w:rsidR="00B00A3D"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rFonts w:ascii="Times New Roman" w:hAnsi="Times New Roman" w:cs="Times New Roman"/>
          <w:sz w:val="21"/>
          <w:szCs w:val="21"/>
        </w:rPr>
        <w:t>if possible, describe the likelihood of the Impact being achieved.</w:t>
      </w:r>
    </w:p>
    <w:p w14:paraId="5B3178A4" w14:textId="77777777" w:rsidR="00B00A3D" w:rsidRPr="006C3DE2" w:rsidRDefault="00B00A3D" w:rsidP="006C3DE2">
      <w:pPr>
        <w:numPr>
          <w:ilvl w:val="0"/>
          <w:numId w:val="3"/>
        </w:numPr>
        <w:tabs>
          <w:tab w:val="left" w:pos="1009"/>
        </w:tabs>
        <w:spacing w:line="276" w:lineRule="auto"/>
        <w:ind w:left="660" w:right="141"/>
        <w:jc w:val="both"/>
        <w:rPr>
          <w:rFonts w:ascii="Times New Roman" w:hAnsi="Times New Roman" w:cs="Times New Roman"/>
          <w:sz w:val="21"/>
          <w:szCs w:val="21"/>
        </w:rPr>
      </w:pPr>
      <w:r w:rsidRPr="006C3DE2">
        <w:rPr>
          <w:rFonts w:ascii="Times New Roman" w:hAnsi="Times New Roman" w:cs="Times New Roman"/>
          <w:sz w:val="21"/>
          <w:szCs w:val="21"/>
        </w:rPr>
        <w:t>an account and assessment of deviations from the latest approved Application and/or work plan;</w:t>
      </w:r>
    </w:p>
    <w:p w14:paraId="13EE15E8" w14:textId="77777777" w:rsidR="00B00A3D" w:rsidRPr="006C3DE2" w:rsidRDefault="00B00A3D" w:rsidP="006C3DE2">
      <w:pPr>
        <w:numPr>
          <w:ilvl w:val="0"/>
          <w:numId w:val="3"/>
        </w:numPr>
        <w:tabs>
          <w:tab w:val="left" w:pos="1009"/>
        </w:tabs>
        <w:spacing w:line="276" w:lineRule="auto"/>
        <w:ind w:left="660" w:right="141"/>
        <w:jc w:val="both"/>
        <w:rPr>
          <w:rFonts w:ascii="Times New Roman" w:hAnsi="Times New Roman" w:cs="Times New Roman"/>
          <w:sz w:val="21"/>
          <w:szCs w:val="21"/>
        </w:rPr>
      </w:pPr>
      <w:r w:rsidRPr="006C3DE2">
        <w:rPr>
          <w:rFonts w:ascii="Times New Roman" w:hAnsi="Times New Roman" w:cs="Times New Roman"/>
          <w:sz w:val="21"/>
          <w:szCs w:val="21"/>
        </w:rPr>
        <w:t>a brief update on the risk management of the Project, including:</w:t>
      </w:r>
    </w:p>
    <w:p w14:paraId="2FCB0F18" w14:textId="77777777" w:rsidR="00B00A3D"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rFonts w:ascii="Times New Roman" w:hAnsi="Times New Roman" w:cs="Times New Roman"/>
          <w:sz w:val="21"/>
          <w:szCs w:val="21"/>
        </w:rPr>
        <w:t>any new risk factors;</w:t>
      </w:r>
    </w:p>
    <w:p w14:paraId="250100F8" w14:textId="77777777" w:rsidR="00904445"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rFonts w:ascii="Times New Roman" w:hAnsi="Times New Roman" w:cs="Times New Roman"/>
          <w:sz w:val="21"/>
          <w:szCs w:val="21"/>
        </w:rPr>
        <w:t xml:space="preserve">how materialized risks have been handled in the reporting period; </w:t>
      </w:r>
    </w:p>
    <w:p w14:paraId="3351BC9A" w14:textId="77777777" w:rsidR="00904445"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rFonts w:ascii="Times New Roman" w:hAnsi="Times New Roman" w:cs="Times New Roman"/>
          <w:sz w:val="21"/>
          <w:szCs w:val="21"/>
        </w:rPr>
        <w:t xml:space="preserve">the effectiveness of mitigating measures; </w:t>
      </w:r>
    </w:p>
    <w:p w14:paraId="1C0ECCD5" w14:textId="328F0223" w:rsidR="00B00A3D"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rFonts w:ascii="Times New Roman" w:hAnsi="Times New Roman" w:cs="Times New Roman"/>
          <w:sz w:val="21"/>
          <w:szCs w:val="21"/>
        </w:rPr>
        <w:t>how risks will be handled going forward.</w:t>
      </w:r>
    </w:p>
    <w:p w14:paraId="7ED4DB4C" w14:textId="77777777" w:rsidR="00B00A3D" w:rsidRPr="006C3DE2" w:rsidRDefault="00B00A3D" w:rsidP="006C3DE2">
      <w:pPr>
        <w:spacing w:line="276" w:lineRule="auto"/>
        <w:ind w:left="1000" w:right="141"/>
        <w:rPr>
          <w:rFonts w:ascii="Times New Roman" w:hAnsi="Times New Roman" w:cs="Times New Roman"/>
          <w:sz w:val="21"/>
          <w:szCs w:val="21"/>
        </w:rPr>
      </w:pPr>
      <w:r w:rsidRPr="006C3DE2">
        <w:rPr>
          <w:rFonts w:ascii="Times New Roman" w:hAnsi="Times New Roman" w:cs="Times New Roman"/>
          <w:sz w:val="21"/>
          <w:szCs w:val="21"/>
        </w:rPr>
        <w:t>The update shall include both risks affecting Project achievements and the risks for negative consequences from the Project on its surroundings. Potential negative effects on the crosscutting issues as referred to in the Specific Conditions article 3 shall always be accounted for.</w:t>
      </w:r>
    </w:p>
    <w:p w14:paraId="46EDDD3B" w14:textId="77777777" w:rsidR="00B00A3D" w:rsidRPr="006C3DE2" w:rsidRDefault="00B00A3D" w:rsidP="006C3DE2">
      <w:pPr>
        <w:numPr>
          <w:ilvl w:val="0"/>
          <w:numId w:val="3"/>
        </w:numPr>
        <w:tabs>
          <w:tab w:val="left" w:pos="1009"/>
        </w:tabs>
        <w:spacing w:after="324" w:line="276" w:lineRule="auto"/>
        <w:ind w:left="1000" w:right="141" w:hanging="340"/>
        <w:rPr>
          <w:rFonts w:ascii="Times New Roman" w:hAnsi="Times New Roman" w:cs="Times New Roman"/>
          <w:sz w:val="21"/>
          <w:szCs w:val="21"/>
        </w:rPr>
      </w:pPr>
      <w:r w:rsidRPr="006C3DE2">
        <w:rPr>
          <w:rFonts w:ascii="Times New Roman" w:hAnsi="Times New Roman" w:cs="Times New Roman"/>
          <w:sz w:val="21"/>
          <w:szCs w:val="21"/>
        </w:rPr>
        <w:t>a brief account of work undertaken to prevent instances of financial irregularities and sexual exploitation, sexual abuse and sexual harassment (SEAH).</w:t>
      </w:r>
    </w:p>
    <w:p w14:paraId="2E4D0C8E" w14:textId="77777777" w:rsidR="00B00A3D" w:rsidRPr="006C3DE2" w:rsidRDefault="00B00A3D" w:rsidP="006C3DE2">
      <w:pPr>
        <w:pStyle w:val="Ttulo60"/>
        <w:numPr>
          <w:ilvl w:val="0"/>
          <w:numId w:val="2"/>
        </w:numPr>
        <w:shd w:val="clear" w:color="auto" w:fill="auto"/>
        <w:tabs>
          <w:tab w:val="left" w:pos="800"/>
        </w:tabs>
        <w:spacing w:before="0" w:after="223" w:line="276" w:lineRule="auto"/>
        <w:ind w:left="840" w:right="141" w:hanging="540"/>
      </w:pPr>
      <w:bookmarkStart w:id="3" w:name="bookmark3"/>
      <w:r w:rsidRPr="006C3DE2">
        <w:rPr>
          <w:color w:val="000000"/>
          <w:lang w:bidi="en-US"/>
        </w:rPr>
        <w:t>FINANCIAL REPORT</w:t>
      </w:r>
      <w:bookmarkEnd w:id="3"/>
    </w:p>
    <w:p w14:paraId="5CE7818B" w14:textId="77777777" w:rsidR="00B00A3D" w:rsidRPr="006C3DE2" w:rsidRDefault="00B00A3D" w:rsidP="006C3DE2">
      <w:pPr>
        <w:numPr>
          <w:ilvl w:val="1"/>
          <w:numId w:val="2"/>
        </w:numPr>
        <w:tabs>
          <w:tab w:val="left" w:pos="800"/>
        </w:tabs>
        <w:spacing w:after="172"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 xml:space="preserve">Any financial report to be submitted in accordance with the Specific Conditions shall comprise financial statements with a comparison to the latest approved budget for the reporting period, as well as an identification of any deviations from the budget as per clause 3.3 below. The financial report shall be certified by the financial controller (or equivalent) as well as an </w:t>
      </w:r>
      <w:proofErr w:type="spellStart"/>
      <w:r w:rsidRPr="006C3DE2">
        <w:rPr>
          <w:rFonts w:ascii="Times New Roman" w:hAnsi="Times New Roman" w:cs="Times New Roman"/>
          <w:sz w:val="21"/>
          <w:szCs w:val="21"/>
        </w:rPr>
        <w:t>authorised</w:t>
      </w:r>
      <w:proofErr w:type="spellEnd"/>
      <w:r w:rsidRPr="006C3DE2">
        <w:rPr>
          <w:rFonts w:ascii="Times New Roman" w:hAnsi="Times New Roman" w:cs="Times New Roman"/>
          <w:sz w:val="21"/>
          <w:szCs w:val="21"/>
        </w:rPr>
        <w:t xml:space="preserve"> representative of the Grant Recipient.</w:t>
      </w:r>
    </w:p>
    <w:p w14:paraId="3861A928" w14:textId="77777777" w:rsidR="00B00A3D" w:rsidRPr="006C3DE2" w:rsidRDefault="00B00A3D" w:rsidP="006C3DE2">
      <w:pPr>
        <w:numPr>
          <w:ilvl w:val="1"/>
          <w:numId w:val="2"/>
        </w:numPr>
        <w:tabs>
          <w:tab w:val="left" w:pos="800"/>
        </w:tabs>
        <w:spacing w:after="199"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The financial statements shall be set up in a way that allows for direct comparison with the latest approved budget, using the same currency and budget line items. They shall, as a minimum, include:</w:t>
      </w:r>
    </w:p>
    <w:p w14:paraId="15A34072" w14:textId="77777777" w:rsidR="00B00A3D" w:rsidRPr="006C3DE2" w:rsidRDefault="00B00A3D" w:rsidP="006C3DE2">
      <w:pPr>
        <w:numPr>
          <w:ilvl w:val="0"/>
          <w:numId w:val="4"/>
        </w:numPr>
        <w:tabs>
          <w:tab w:val="left" w:pos="1009"/>
          <w:tab w:val="left" w:pos="9214"/>
        </w:tabs>
        <w:spacing w:line="276" w:lineRule="auto"/>
        <w:ind w:left="993" w:right="141" w:hanging="333"/>
        <w:jc w:val="both"/>
        <w:rPr>
          <w:rFonts w:ascii="Times New Roman" w:hAnsi="Times New Roman" w:cs="Times New Roman"/>
          <w:sz w:val="21"/>
          <w:szCs w:val="21"/>
        </w:rPr>
      </w:pPr>
      <w:r w:rsidRPr="006C3DE2">
        <w:rPr>
          <w:rFonts w:ascii="Times New Roman" w:hAnsi="Times New Roman" w:cs="Times New Roman"/>
          <w:sz w:val="21"/>
          <w:szCs w:val="21"/>
        </w:rPr>
        <w:t>income from all sources, including bank interest. MFA’s contribution shall be specified;</w:t>
      </w:r>
    </w:p>
    <w:p w14:paraId="32EC11E2" w14:textId="77777777" w:rsidR="00B00A3D" w:rsidRPr="006C3DE2" w:rsidRDefault="00B00A3D" w:rsidP="006C3DE2">
      <w:pPr>
        <w:numPr>
          <w:ilvl w:val="0"/>
          <w:numId w:val="4"/>
        </w:numPr>
        <w:tabs>
          <w:tab w:val="left" w:pos="1009"/>
          <w:tab w:val="left" w:pos="9214"/>
        </w:tabs>
        <w:spacing w:line="276" w:lineRule="auto"/>
        <w:ind w:left="993" w:right="141" w:hanging="333"/>
        <w:jc w:val="both"/>
        <w:rPr>
          <w:rFonts w:ascii="Times New Roman" w:hAnsi="Times New Roman" w:cs="Times New Roman"/>
          <w:sz w:val="21"/>
          <w:szCs w:val="21"/>
        </w:rPr>
      </w:pPr>
      <w:r w:rsidRPr="006C3DE2">
        <w:rPr>
          <w:rFonts w:ascii="Times New Roman" w:hAnsi="Times New Roman" w:cs="Times New Roman"/>
          <w:sz w:val="21"/>
          <w:szCs w:val="21"/>
        </w:rPr>
        <w:t>expenses charged/</w:t>
      </w:r>
      <w:proofErr w:type="spellStart"/>
      <w:r w:rsidRPr="006C3DE2">
        <w:rPr>
          <w:rFonts w:ascii="Times New Roman" w:hAnsi="Times New Roman" w:cs="Times New Roman"/>
          <w:sz w:val="21"/>
          <w:szCs w:val="21"/>
        </w:rPr>
        <w:t>capitalised</w:t>
      </w:r>
      <w:proofErr w:type="spellEnd"/>
      <w:r w:rsidRPr="006C3DE2">
        <w:rPr>
          <w:rFonts w:ascii="Times New Roman" w:hAnsi="Times New Roman" w:cs="Times New Roman"/>
          <w:sz w:val="21"/>
          <w:szCs w:val="21"/>
        </w:rPr>
        <w:t xml:space="preserve"> in the relevant reporting period;</w:t>
      </w:r>
    </w:p>
    <w:p w14:paraId="2576D4FC" w14:textId="77777777" w:rsidR="00B00A3D" w:rsidRPr="006C3DE2" w:rsidRDefault="00B00A3D" w:rsidP="006C3DE2">
      <w:pPr>
        <w:numPr>
          <w:ilvl w:val="0"/>
          <w:numId w:val="4"/>
        </w:numPr>
        <w:tabs>
          <w:tab w:val="left" w:pos="1009"/>
          <w:tab w:val="left" w:pos="9214"/>
        </w:tabs>
        <w:spacing w:line="276" w:lineRule="auto"/>
        <w:ind w:left="993" w:right="141" w:hanging="333"/>
        <w:jc w:val="both"/>
        <w:rPr>
          <w:rFonts w:ascii="Times New Roman" w:hAnsi="Times New Roman" w:cs="Times New Roman"/>
          <w:sz w:val="21"/>
          <w:szCs w:val="21"/>
        </w:rPr>
      </w:pPr>
      <w:r w:rsidRPr="006C3DE2">
        <w:rPr>
          <w:rFonts w:ascii="Times New Roman" w:hAnsi="Times New Roman" w:cs="Times New Roman"/>
          <w:sz w:val="21"/>
          <w:szCs w:val="21"/>
        </w:rPr>
        <w:t>expenses charged/</w:t>
      </w:r>
      <w:proofErr w:type="spellStart"/>
      <w:r w:rsidRPr="006C3DE2">
        <w:rPr>
          <w:rFonts w:ascii="Times New Roman" w:hAnsi="Times New Roman" w:cs="Times New Roman"/>
          <w:sz w:val="21"/>
          <w:szCs w:val="21"/>
        </w:rPr>
        <w:t>capitalised</w:t>
      </w:r>
      <w:proofErr w:type="spellEnd"/>
      <w:r w:rsidRPr="006C3DE2">
        <w:rPr>
          <w:rFonts w:ascii="Times New Roman" w:hAnsi="Times New Roman" w:cs="Times New Roman"/>
          <w:sz w:val="21"/>
          <w:szCs w:val="21"/>
        </w:rPr>
        <w:t xml:space="preserve"> from start-up of the Project to the end of the reporting period;</w:t>
      </w:r>
    </w:p>
    <w:p w14:paraId="2BC99D13" w14:textId="77777777" w:rsidR="00904445" w:rsidRPr="006C3DE2" w:rsidRDefault="00B00A3D" w:rsidP="006C3DE2">
      <w:pPr>
        <w:numPr>
          <w:ilvl w:val="0"/>
          <w:numId w:val="4"/>
        </w:numPr>
        <w:tabs>
          <w:tab w:val="left" w:pos="1011"/>
          <w:tab w:val="left" w:pos="9214"/>
        </w:tabs>
        <w:spacing w:line="276" w:lineRule="auto"/>
        <w:ind w:left="993" w:right="141" w:hanging="333"/>
        <w:jc w:val="both"/>
        <w:rPr>
          <w:rFonts w:ascii="Times New Roman" w:hAnsi="Times New Roman" w:cs="Times New Roman"/>
          <w:sz w:val="21"/>
          <w:szCs w:val="21"/>
        </w:rPr>
      </w:pPr>
      <w:r w:rsidRPr="006C3DE2">
        <w:rPr>
          <w:rFonts w:ascii="Times New Roman" w:hAnsi="Times New Roman" w:cs="Times New Roman"/>
          <w:sz w:val="21"/>
          <w:szCs w:val="21"/>
        </w:rPr>
        <w:t>unused funds as per the reporting date. MFA's share shall be specified;</w:t>
      </w:r>
    </w:p>
    <w:p w14:paraId="732BB982" w14:textId="77777777" w:rsidR="00904445" w:rsidRPr="006C3DE2" w:rsidRDefault="00B00A3D" w:rsidP="006C3DE2">
      <w:pPr>
        <w:numPr>
          <w:ilvl w:val="0"/>
          <w:numId w:val="4"/>
        </w:numPr>
        <w:tabs>
          <w:tab w:val="left" w:pos="1011"/>
          <w:tab w:val="left" w:pos="9214"/>
        </w:tabs>
        <w:spacing w:line="276" w:lineRule="auto"/>
        <w:ind w:left="993" w:right="141" w:hanging="333"/>
        <w:jc w:val="both"/>
        <w:rPr>
          <w:rFonts w:ascii="Times New Roman" w:hAnsi="Times New Roman" w:cs="Times New Roman"/>
          <w:sz w:val="21"/>
          <w:szCs w:val="21"/>
        </w:rPr>
      </w:pPr>
      <w:r w:rsidRPr="006C3DE2">
        <w:rPr>
          <w:rFonts w:ascii="Times New Roman" w:hAnsi="Times New Roman" w:cs="Times New Roman"/>
          <w:sz w:val="21"/>
          <w:szCs w:val="21"/>
        </w:rPr>
        <w:t>overhead- indirect costs to be covered by the Grant in accordance with article 4 of the Specific Conditions;</w:t>
      </w:r>
    </w:p>
    <w:p w14:paraId="60C8FF2F" w14:textId="77777777" w:rsidR="00904445" w:rsidRPr="006C3DE2" w:rsidRDefault="00B00A3D" w:rsidP="006C3DE2">
      <w:pPr>
        <w:numPr>
          <w:ilvl w:val="0"/>
          <w:numId w:val="4"/>
        </w:numPr>
        <w:tabs>
          <w:tab w:val="left" w:pos="1020"/>
          <w:tab w:val="left" w:pos="9214"/>
        </w:tabs>
        <w:spacing w:line="276" w:lineRule="auto"/>
        <w:ind w:left="993" w:right="141" w:hanging="333"/>
        <w:jc w:val="both"/>
        <w:rPr>
          <w:rFonts w:ascii="Times New Roman" w:hAnsi="Times New Roman" w:cs="Times New Roman"/>
          <w:sz w:val="21"/>
          <w:szCs w:val="21"/>
        </w:rPr>
      </w:pPr>
      <w:r w:rsidRPr="006C3DE2">
        <w:rPr>
          <w:rFonts w:ascii="Times New Roman" w:hAnsi="Times New Roman" w:cs="Times New Roman"/>
          <w:sz w:val="21"/>
          <w:szCs w:val="21"/>
        </w:rPr>
        <w:t>balance sheet, when required in accordance with the accounting principles applied;</w:t>
      </w:r>
    </w:p>
    <w:p w14:paraId="13DF6105" w14:textId="2AC849EE" w:rsidR="00B00A3D" w:rsidRPr="006C3DE2" w:rsidRDefault="00B00A3D" w:rsidP="006C3DE2">
      <w:pPr>
        <w:numPr>
          <w:ilvl w:val="0"/>
          <w:numId w:val="4"/>
        </w:numPr>
        <w:tabs>
          <w:tab w:val="left" w:pos="1020"/>
          <w:tab w:val="left" w:pos="9214"/>
        </w:tabs>
        <w:spacing w:line="276" w:lineRule="auto"/>
        <w:ind w:left="993" w:right="141" w:hanging="333"/>
        <w:jc w:val="both"/>
        <w:rPr>
          <w:rFonts w:ascii="Times New Roman" w:hAnsi="Times New Roman" w:cs="Times New Roman"/>
          <w:sz w:val="21"/>
          <w:szCs w:val="21"/>
        </w:rPr>
      </w:pPr>
      <w:r w:rsidRPr="006C3DE2">
        <w:rPr>
          <w:rFonts w:ascii="Times New Roman" w:hAnsi="Times New Roman" w:cs="Times New Roman"/>
          <w:sz w:val="21"/>
          <w:szCs w:val="21"/>
        </w:rPr>
        <w:t>explanatory notes including a description of the accounting principles used and any other explanatory material necessary for transparent financial reporting of the Project.</w:t>
      </w:r>
    </w:p>
    <w:p w14:paraId="7B99AD8E" w14:textId="77777777" w:rsidR="00B00A3D"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Deviations from the approved budget shall be highlighted with information about both nominal amounts and percentage of each deviation. The Grant Recipient shall include a written explanation of any deviations amounting to more than 10% of a budget line and exceeds NOK 15 000 (fifteen thousand).</w:t>
      </w:r>
    </w:p>
    <w:p w14:paraId="51A413A3" w14:textId="77777777" w:rsidR="00B00A3D" w:rsidRPr="006C3DE2" w:rsidRDefault="00B00A3D" w:rsidP="006C3DE2">
      <w:pPr>
        <w:pStyle w:val="Ttulo60"/>
        <w:numPr>
          <w:ilvl w:val="0"/>
          <w:numId w:val="2"/>
        </w:numPr>
        <w:shd w:val="clear" w:color="auto" w:fill="auto"/>
        <w:tabs>
          <w:tab w:val="left" w:pos="800"/>
        </w:tabs>
        <w:spacing w:before="0" w:after="223" w:line="276" w:lineRule="auto"/>
        <w:ind w:left="840" w:right="141" w:hanging="540"/>
        <w:rPr>
          <w:color w:val="000000"/>
          <w:lang w:bidi="en-US"/>
        </w:rPr>
      </w:pPr>
      <w:r w:rsidRPr="006C3DE2">
        <w:rPr>
          <w:color w:val="000000"/>
          <w:lang w:bidi="en-US"/>
        </w:rPr>
        <w:t>FINAL REPORT</w:t>
      </w:r>
    </w:p>
    <w:p w14:paraId="68FE9E8D" w14:textId="77777777" w:rsidR="00904445"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 xml:space="preserve">The final report lo be submitted in accordance with the Specific Conditions shall describe the results achieved by the Project during the Support Period. The report shall be set up in a way that allows for a direct comparison with the Application and shall be signed by an </w:t>
      </w:r>
      <w:proofErr w:type="spellStart"/>
      <w:r w:rsidRPr="006C3DE2">
        <w:rPr>
          <w:rFonts w:ascii="Times New Roman" w:hAnsi="Times New Roman" w:cs="Times New Roman"/>
          <w:sz w:val="21"/>
          <w:szCs w:val="21"/>
        </w:rPr>
        <w:t>authorised</w:t>
      </w:r>
      <w:proofErr w:type="spellEnd"/>
      <w:r w:rsidRPr="006C3DE2">
        <w:rPr>
          <w:rFonts w:ascii="Times New Roman" w:hAnsi="Times New Roman" w:cs="Times New Roman"/>
          <w:sz w:val="21"/>
          <w:szCs w:val="21"/>
        </w:rPr>
        <w:t xml:space="preserve"> representative of the Grant Recipient.</w:t>
      </w:r>
    </w:p>
    <w:p w14:paraId="6B594599" w14:textId="5F194F28" w:rsidR="00B00A3D"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The final report shall, as a minimum, include:</w:t>
      </w:r>
    </w:p>
    <w:p w14:paraId="5ACFE8E7" w14:textId="77777777" w:rsidR="00B00A3D" w:rsidRPr="006C3DE2" w:rsidRDefault="00B00A3D" w:rsidP="006C3DE2">
      <w:pPr>
        <w:numPr>
          <w:ilvl w:val="0"/>
          <w:numId w:val="7"/>
        </w:numPr>
        <w:tabs>
          <w:tab w:val="left" w:pos="1011"/>
        </w:tabs>
        <w:spacing w:line="276" w:lineRule="auto"/>
        <w:ind w:left="1020" w:right="141" w:hanging="340"/>
        <w:rPr>
          <w:rFonts w:ascii="Times New Roman" w:hAnsi="Times New Roman" w:cs="Times New Roman"/>
          <w:sz w:val="21"/>
          <w:szCs w:val="21"/>
        </w:rPr>
      </w:pPr>
      <w:r w:rsidRPr="006C3DE2">
        <w:rPr>
          <w:rFonts w:ascii="Times New Roman" w:hAnsi="Times New Roman" w:cs="Times New Roman"/>
          <w:sz w:val="21"/>
          <w:szCs w:val="21"/>
        </w:rPr>
        <w:t>the items listed for the progress reports described in article 2 of the General Conditions, covering the entire Support Period;</w:t>
      </w:r>
    </w:p>
    <w:p w14:paraId="7526DC87" w14:textId="77777777" w:rsidR="00B00A3D" w:rsidRPr="006C3DE2" w:rsidRDefault="00B00A3D" w:rsidP="006C3DE2">
      <w:pPr>
        <w:numPr>
          <w:ilvl w:val="0"/>
          <w:numId w:val="7"/>
        </w:numPr>
        <w:tabs>
          <w:tab w:val="left" w:pos="1025"/>
        </w:tabs>
        <w:spacing w:line="276" w:lineRule="auto"/>
        <w:ind w:left="680" w:right="141"/>
        <w:jc w:val="both"/>
        <w:rPr>
          <w:rFonts w:ascii="Times New Roman" w:hAnsi="Times New Roman" w:cs="Times New Roman"/>
          <w:sz w:val="21"/>
          <w:szCs w:val="21"/>
        </w:rPr>
      </w:pPr>
      <w:r w:rsidRPr="006C3DE2">
        <w:rPr>
          <w:rFonts w:ascii="Times New Roman" w:hAnsi="Times New Roman" w:cs="Times New Roman"/>
          <w:sz w:val="21"/>
          <w:szCs w:val="21"/>
        </w:rPr>
        <w:t>an assessment of the Project’s effect on society (Impact);</w:t>
      </w:r>
    </w:p>
    <w:p w14:paraId="6EE7157C" w14:textId="77777777" w:rsidR="00B00A3D" w:rsidRPr="006C3DE2" w:rsidRDefault="00B00A3D" w:rsidP="006C3DE2">
      <w:pPr>
        <w:numPr>
          <w:ilvl w:val="0"/>
          <w:numId w:val="7"/>
        </w:numPr>
        <w:tabs>
          <w:tab w:val="left" w:pos="1025"/>
        </w:tabs>
        <w:spacing w:line="276" w:lineRule="auto"/>
        <w:ind w:left="680" w:right="141"/>
        <w:jc w:val="both"/>
        <w:rPr>
          <w:rFonts w:ascii="Times New Roman" w:hAnsi="Times New Roman" w:cs="Times New Roman"/>
          <w:sz w:val="21"/>
          <w:szCs w:val="21"/>
        </w:rPr>
      </w:pPr>
      <w:r w:rsidRPr="006C3DE2">
        <w:rPr>
          <w:rFonts w:ascii="Times New Roman" w:hAnsi="Times New Roman" w:cs="Times New Roman"/>
          <w:sz w:val="21"/>
          <w:szCs w:val="21"/>
        </w:rPr>
        <w:t>a description of the main lessons learned from the Project;</w:t>
      </w:r>
    </w:p>
    <w:p w14:paraId="32302C5C" w14:textId="77777777" w:rsidR="00B00A3D" w:rsidRPr="006C3DE2" w:rsidRDefault="00B00A3D" w:rsidP="006C3DE2">
      <w:pPr>
        <w:numPr>
          <w:ilvl w:val="0"/>
          <w:numId w:val="7"/>
        </w:numPr>
        <w:tabs>
          <w:tab w:val="left" w:pos="1025"/>
        </w:tabs>
        <w:spacing w:line="276" w:lineRule="auto"/>
        <w:ind w:left="680" w:right="141"/>
        <w:jc w:val="both"/>
        <w:rPr>
          <w:rFonts w:ascii="Times New Roman" w:hAnsi="Times New Roman" w:cs="Times New Roman"/>
          <w:sz w:val="21"/>
          <w:szCs w:val="21"/>
        </w:rPr>
      </w:pPr>
      <w:r w:rsidRPr="006C3DE2">
        <w:rPr>
          <w:rFonts w:ascii="Times New Roman" w:hAnsi="Times New Roman" w:cs="Times New Roman"/>
          <w:sz w:val="21"/>
          <w:szCs w:val="21"/>
        </w:rPr>
        <w:t>an assessment of how efficiently Project resources have been turned into outputs</w:t>
      </w:r>
    </w:p>
    <w:p w14:paraId="7D229810" w14:textId="77777777" w:rsidR="00B00A3D" w:rsidRPr="006C3DE2" w:rsidRDefault="00B00A3D" w:rsidP="006C3DE2">
      <w:pPr>
        <w:numPr>
          <w:ilvl w:val="0"/>
          <w:numId w:val="7"/>
        </w:numPr>
        <w:tabs>
          <w:tab w:val="left" w:pos="1025"/>
        </w:tabs>
        <w:spacing w:after="324" w:line="276" w:lineRule="auto"/>
        <w:ind w:left="680" w:right="141"/>
        <w:jc w:val="both"/>
        <w:rPr>
          <w:rFonts w:ascii="Times New Roman" w:hAnsi="Times New Roman" w:cs="Times New Roman"/>
          <w:sz w:val="21"/>
          <w:szCs w:val="21"/>
        </w:rPr>
      </w:pPr>
      <w:r w:rsidRPr="006C3DE2">
        <w:rPr>
          <w:rFonts w:ascii="Times New Roman" w:hAnsi="Times New Roman" w:cs="Times New Roman"/>
          <w:sz w:val="21"/>
          <w:szCs w:val="21"/>
        </w:rPr>
        <w:t>an assessment of the sustainability of the achieved results by the Project.</w:t>
      </w:r>
    </w:p>
    <w:p w14:paraId="3330AB6E" w14:textId="77777777" w:rsidR="00B00A3D" w:rsidRPr="006C3DE2" w:rsidRDefault="00B00A3D" w:rsidP="006C3DE2">
      <w:pPr>
        <w:pStyle w:val="Ttulo60"/>
        <w:numPr>
          <w:ilvl w:val="0"/>
          <w:numId w:val="2"/>
        </w:numPr>
        <w:shd w:val="clear" w:color="auto" w:fill="auto"/>
        <w:tabs>
          <w:tab w:val="left" w:pos="800"/>
        </w:tabs>
        <w:spacing w:before="0" w:after="223" w:line="276" w:lineRule="auto"/>
        <w:ind w:left="840" w:right="141" w:hanging="540"/>
      </w:pPr>
      <w:bookmarkStart w:id="4" w:name="bookmark4"/>
      <w:r w:rsidRPr="006C3DE2">
        <w:rPr>
          <w:color w:val="000000"/>
          <w:lang w:bidi="en-US"/>
        </w:rPr>
        <w:t>AUDIT</w:t>
      </w:r>
      <w:bookmarkEnd w:id="4"/>
    </w:p>
    <w:p w14:paraId="704388F7" w14:textId="77777777" w:rsidR="00904445"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If an audit of the Project's financial statements is required pursuant to the Specific Conditions article 6, the audit shall be carried out by an independent chartered/certified or state-</w:t>
      </w:r>
      <w:proofErr w:type="spellStart"/>
      <w:r w:rsidRPr="006C3DE2">
        <w:rPr>
          <w:rFonts w:ascii="Times New Roman" w:hAnsi="Times New Roman" w:cs="Times New Roman"/>
          <w:sz w:val="21"/>
          <w:szCs w:val="21"/>
        </w:rPr>
        <w:t>authorised</w:t>
      </w:r>
      <w:proofErr w:type="spellEnd"/>
      <w:r w:rsidRPr="006C3DE2">
        <w:rPr>
          <w:rFonts w:ascii="Times New Roman" w:hAnsi="Times New Roman" w:cs="Times New Roman"/>
          <w:sz w:val="21"/>
          <w:szCs w:val="21"/>
        </w:rPr>
        <w:t xml:space="preserve"> public accountant (auditor).</w:t>
      </w:r>
    </w:p>
    <w:p w14:paraId="74754CB8" w14:textId="77777777" w:rsidR="00904445"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MFA reserves the right to approve the auditor and may require that the auditor shall be replaced if MFA finds that the auditor has not performed satisfactorily or if there is any doubt as to the auditor's independence or professional standards.</w:t>
      </w:r>
    </w:p>
    <w:p w14:paraId="7C773C2D" w14:textId="77777777" w:rsidR="00904445"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The auditor shall form an opinion on whether the Project’s financial statements fairly relied the financial position of the Project and whether they are prepared, in all material respects, in accordance with the applicable financial reporting framework and the requirements of article 3 of the General Conditions.</w:t>
      </w:r>
    </w:p>
    <w:p w14:paraId="02790936" w14:textId="77777777" w:rsidR="00904445"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The auditor shall report in accordance with the applicable audit standards, as agreed in the Specific Conditions.</w:t>
      </w:r>
    </w:p>
    <w:p w14:paraId="69735959" w14:textId="45B66CCF" w:rsidR="00B00A3D"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rFonts w:ascii="Times New Roman" w:hAnsi="Times New Roman" w:cs="Times New Roman"/>
          <w:sz w:val="21"/>
          <w:szCs w:val="21"/>
        </w:rPr>
        <w:t>The audit report shall include:</w:t>
      </w:r>
    </w:p>
    <w:p w14:paraId="0937A266" w14:textId="77777777" w:rsidR="00B00A3D" w:rsidRPr="006C3DE2" w:rsidRDefault="00B00A3D" w:rsidP="006C3DE2">
      <w:pPr>
        <w:numPr>
          <w:ilvl w:val="0"/>
          <w:numId w:val="8"/>
        </w:numPr>
        <w:tabs>
          <w:tab w:val="left" w:pos="1006"/>
        </w:tabs>
        <w:spacing w:line="276" w:lineRule="auto"/>
        <w:ind w:left="680" w:right="141"/>
        <w:jc w:val="both"/>
        <w:rPr>
          <w:rFonts w:ascii="Times New Roman" w:hAnsi="Times New Roman" w:cs="Times New Roman"/>
          <w:sz w:val="21"/>
          <w:szCs w:val="21"/>
        </w:rPr>
      </w:pPr>
      <w:r w:rsidRPr="006C3DE2">
        <w:rPr>
          <w:rFonts w:ascii="Times New Roman" w:hAnsi="Times New Roman" w:cs="Times New Roman"/>
          <w:sz w:val="21"/>
          <w:szCs w:val="21"/>
        </w:rPr>
        <w:t>the Project name and agreement number;</w:t>
      </w:r>
    </w:p>
    <w:p w14:paraId="365DC838" w14:textId="77777777" w:rsidR="00B00A3D" w:rsidRPr="006C3DE2" w:rsidRDefault="00B00A3D" w:rsidP="006C3DE2">
      <w:pPr>
        <w:numPr>
          <w:ilvl w:val="0"/>
          <w:numId w:val="8"/>
        </w:numPr>
        <w:tabs>
          <w:tab w:val="left" w:pos="1025"/>
        </w:tabs>
        <w:spacing w:line="276" w:lineRule="auto"/>
        <w:ind w:left="680" w:right="141"/>
        <w:jc w:val="both"/>
        <w:rPr>
          <w:rFonts w:ascii="Times New Roman" w:hAnsi="Times New Roman" w:cs="Times New Roman"/>
          <w:sz w:val="21"/>
          <w:szCs w:val="21"/>
        </w:rPr>
      </w:pPr>
      <w:r w:rsidRPr="006C3DE2">
        <w:rPr>
          <w:rFonts w:ascii="Times New Roman" w:hAnsi="Times New Roman" w:cs="Times New Roman"/>
          <w:sz w:val="21"/>
          <w:szCs w:val="21"/>
        </w:rPr>
        <w:t>the Project period subject of the audit;</w:t>
      </w:r>
    </w:p>
    <w:p w14:paraId="46D6E9C7" w14:textId="77777777" w:rsidR="00B00A3D" w:rsidRPr="006C3DE2" w:rsidRDefault="00B00A3D" w:rsidP="006C3DE2">
      <w:pPr>
        <w:numPr>
          <w:ilvl w:val="0"/>
          <w:numId w:val="8"/>
        </w:numPr>
        <w:tabs>
          <w:tab w:val="left" w:pos="1025"/>
        </w:tabs>
        <w:spacing w:line="276" w:lineRule="auto"/>
        <w:ind w:left="680" w:right="141"/>
        <w:jc w:val="both"/>
        <w:rPr>
          <w:rFonts w:ascii="Times New Roman" w:hAnsi="Times New Roman" w:cs="Times New Roman"/>
          <w:sz w:val="21"/>
          <w:szCs w:val="21"/>
        </w:rPr>
      </w:pPr>
      <w:r w:rsidRPr="006C3DE2">
        <w:rPr>
          <w:rFonts w:ascii="Times New Roman" w:hAnsi="Times New Roman" w:cs="Times New Roman"/>
          <w:sz w:val="21"/>
          <w:szCs w:val="21"/>
        </w:rPr>
        <w:t>reference to the financial reporting framework applied;</w:t>
      </w:r>
    </w:p>
    <w:p w14:paraId="3DD3648A" w14:textId="77777777" w:rsidR="00B00A3D" w:rsidRPr="006C3DE2" w:rsidRDefault="00B00A3D" w:rsidP="006C3DE2">
      <w:pPr>
        <w:numPr>
          <w:ilvl w:val="0"/>
          <w:numId w:val="8"/>
        </w:numPr>
        <w:tabs>
          <w:tab w:val="left" w:pos="1025"/>
        </w:tabs>
        <w:spacing w:line="276" w:lineRule="auto"/>
        <w:ind w:left="680" w:right="141"/>
        <w:jc w:val="both"/>
        <w:rPr>
          <w:rFonts w:ascii="Times New Roman" w:hAnsi="Times New Roman" w:cs="Times New Roman"/>
          <w:sz w:val="21"/>
          <w:szCs w:val="21"/>
        </w:rPr>
      </w:pPr>
      <w:r w:rsidRPr="006C3DE2">
        <w:rPr>
          <w:rFonts w:ascii="Times New Roman" w:hAnsi="Times New Roman" w:cs="Times New Roman"/>
          <w:sz w:val="21"/>
          <w:szCs w:val="21"/>
        </w:rPr>
        <w:t>the auditing standards applied;</w:t>
      </w:r>
    </w:p>
    <w:p w14:paraId="71C4D586" w14:textId="77777777" w:rsidR="00B00A3D" w:rsidRPr="006C3DE2" w:rsidRDefault="00B00A3D" w:rsidP="006C3DE2">
      <w:pPr>
        <w:numPr>
          <w:ilvl w:val="0"/>
          <w:numId w:val="8"/>
        </w:numPr>
        <w:tabs>
          <w:tab w:val="left" w:pos="1025"/>
        </w:tabs>
        <w:spacing w:line="276" w:lineRule="auto"/>
        <w:ind w:left="1020" w:right="141" w:hanging="340"/>
        <w:rPr>
          <w:rFonts w:ascii="Times New Roman" w:hAnsi="Times New Roman" w:cs="Times New Roman"/>
          <w:sz w:val="21"/>
          <w:szCs w:val="21"/>
        </w:rPr>
      </w:pPr>
      <w:r w:rsidRPr="006C3DE2">
        <w:rPr>
          <w:rFonts w:ascii="Times New Roman" w:hAnsi="Times New Roman" w:cs="Times New Roman"/>
          <w:sz w:val="21"/>
          <w:szCs w:val="21"/>
        </w:rPr>
        <w:t>a statement that the auditor has obtained reasonable assurance about whether the financial statements as a whole are free from material misstatement;</w:t>
      </w:r>
    </w:p>
    <w:p w14:paraId="27407C41" w14:textId="33207A46" w:rsidR="00B00A3D" w:rsidRPr="006C3DE2" w:rsidRDefault="00B00A3D" w:rsidP="006C3DE2">
      <w:pPr>
        <w:tabs>
          <w:tab w:val="left" w:pos="980"/>
        </w:tabs>
        <w:spacing w:line="276" w:lineRule="auto"/>
        <w:ind w:left="680" w:right="141"/>
        <w:rPr>
          <w:rFonts w:ascii="Times New Roman" w:hAnsi="Times New Roman" w:cs="Times New Roman"/>
          <w:sz w:val="21"/>
          <w:szCs w:val="21"/>
        </w:rPr>
      </w:pPr>
      <w:r w:rsidRPr="006C3DE2">
        <w:rPr>
          <w:rFonts w:ascii="Times New Roman" w:hAnsi="Times New Roman" w:cs="Times New Roman"/>
          <w:sz w:val="21"/>
          <w:szCs w:val="21"/>
        </w:rPr>
        <w:t>f)</w:t>
      </w:r>
      <w:r w:rsidRPr="006C3DE2">
        <w:rPr>
          <w:rFonts w:ascii="Times New Roman" w:hAnsi="Times New Roman" w:cs="Times New Roman"/>
          <w:sz w:val="21"/>
          <w:szCs w:val="21"/>
        </w:rPr>
        <w:tab/>
        <w:t>the auditor’s opinion.</w:t>
      </w:r>
    </w:p>
    <w:p w14:paraId="7FFF8EE4" w14:textId="15BFB80B" w:rsidR="00904445" w:rsidRPr="006C3DE2" w:rsidRDefault="00904445" w:rsidP="006C3DE2">
      <w:pPr>
        <w:tabs>
          <w:tab w:val="left" w:pos="980"/>
        </w:tabs>
        <w:spacing w:line="276" w:lineRule="auto"/>
        <w:ind w:left="680" w:right="141"/>
        <w:rPr>
          <w:rFonts w:ascii="Times New Roman" w:hAnsi="Times New Roman" w:cs="Times New Roman"/>
          <w:sz w:val="21"/>
          <w:szCs w:val="21"/>
        </w:rPr>
      </w:pPr>
    </w:p>
    <w:p w14:paraId="79C7BFA6" w14:textId="77777777" w:rsidR="00904445" w:rsidRPr="006C3DE2" w:rsidRDefault="00904445" w:rsidP="006C3DE2">
      <w:pPr>
        <w:numPr>
          <w:ilvl w:val="0"/>
          <w:numId w:val="21"/>
        </w:numPr>
        <w:tabs>
          <w:tab w:val="left" w:pos="851"/>
        </w:tabs>
        <w:spacing w:after="176" w:line="276" w:lineRule="auto"/>
        <w:ind w:left="851" w:right="141" w:hanging="560"/>
        <w:jc w:val="both"/>
        <w:rPr>
          <w:rFonts w:ascii="Times New Roman" w:hAnsi="Times New Roman" w:cs="Times New Roman"/>
          <w:sz w:val="21"/>
          <w:szCs w:val="21"/>
        </w:rPr>
      </w:pPr>
      <w:r w:rsidRPr="006C3DE2">
        <w:rPr>
          <w:rFonts w:ascii="Times New Roman" w:hAnsi="Times New Roman" w:cs="Times New Roman"/>
          <w:sz w:val="21"/>
          <w:szCs w:val="21"/>
        </w:rPr>
        <w:t>If any findings have been reported in the Project's management letter, the Grant Recipient shall prepare a response including an action plan to be submitted to MFA together with the management letter.</w:t>
      </w:r>
    </w:p>
    <w:p w14:paraId="7F103411" w14:textId="77777777" w:rsidR="00904445" w:rsidRPr="006C3DE2" w:rsidRDefault="00904445" w:rsidP="006C3DE2">
      <w:pPr>
        <w:numPr>
          <w:ilvl w:val="0"/>
          <w:numId w:val="21"/>
        </w:numPr>
        <w:tabs>
          <w:tab w:val="left" w:pos="851"/>
        </w:tabs>
        <w:spacing w:after="319" w:line="276" w:lineRule="auto"/>
        <w:ind w:left="851" w:right="141" w:hanging="560"/>
        <w:jc w:val="both"/>
        <w:rPr>
          <w:rFonts w:ascii="Times New Roman" w:hAnsi="Times New Roman" w:cs="Times New Roman"/>
          <w:sz w:val="21"/>
          <w:szCs w:val="21"/>
        </w:rPr>
      </w:pPr>
      <w:r w:rsidRPr="006C3DE2">
        <w:rPr>
          <w:rFonts w:ascii="Times New Roman" w:hAnsi="Times New Roman" w:cs="Times New Roman"/>
          <w:sz w:val="21"/>
          <w:szCs w:val="21"/>
        </w:rPr>
        <w:t>The costs of the audit of the Project’s financial statements shall be included in the Project’s budget.</w:t>
      </w:r>
    </w:p>
    <w:p w14:paraId="2BAA7E9E" w14:textId="77777777" w:rsidR="00904445" w:rsidRPr="006C3DE2" w:rsidRDefault="00904445" w:rsidP="006C3DE2">
      <w:pPr>
        <w:numPr>
          <w:ilvl w:val="0"/>
          <w:numId w:val="21"/>
        </w:numPr>
        <w:tabs>
          <w:tab w:val="left" w:pos="851"/>
        </w:tabs>
        <w:spacing w:after="312" w:line="276" w:lineRule="auto"/>
        <w:ind w:left="851" w:right="141" w:hanging="560"/>
        <w:jc w:val="both"/>
        <w:rPr>
          <w:rFonts w:ascii="Times New Roman" w:hAnsi="Times New Roman" w:cs="Times New Roman"/>
          <w:sz w:val="21"/>
          <w:szCs w:val="21"/>
        </w:rPr>
      </w:pPr>
      <w:r w:rsidRPr="006C3DE2">
        <w:rPr>
          <w:rFonts w:ascii="Times New Roman" w:hAnsi="Times New Roman" w:cs="Times New Roman"/>
          <w:sz w:val="21"/>
          <w:szCs w:val="21"/>
        </w:rPr>
        <w:t>The audit requirements stated in this Agreement arc applicable for the total Grant, including any part of the Grant that has been transferred to a cooperating partner.</w:t>
      </w:r>
    </w:p>
    <w:p w14:paraId="46C8326A" w14:textId="77777777" w:rsidR="00904445" w:rsidRPr="006C3DE2" w:rsidRDefault="00904445" w:rsidP="006C3DE2">
      <w:pPr>
        <w:numPr>
          <w:ilvl w:val="0"/>
          <w:numId w:val="21"/>
        </w:numPr>
        <w:tabs>
          <w:tab w:val="left" w:pos="851"/>
        </w:tabs>
        <w:spacing w:after="296" w:line="276" w:lineRule="auto"/>
        <w:ind w:left="851" w:right="141" w:hanging="560"/>
        <w:jc w:val="both"/>
        <w:rPr>
          <w:rFonts w:ascii="Times New Roman" w:hAnsi="Times New Roman" w:cs="Times New Roman"/>
          <w:sz w:val="21"/>
          <w:szCs w:val="21"/>
        </w:rPr>
      </w:pPr>
      <w:r w:rsidRPr="006C3DE2">
        <w:rPr>
          <w:rFonts w:ascii="Times New Roman" w:hAnsi="Times New Roman" w:cs="Times New Roman"/>
          <w:sz w:val="21"/>
          <w:szCs w:val="21"/>
        </w:rPr>
        <w:t>The auditor of the Project’s consolidated financial statement is responsible for the direction, supervision and performance of the audit of any pail of the Grant that has been transferred to a cooperating partner. The auditor shall assure itself that those performing the audit for cooperating partners have the appropriate qualifications, that the audit is in compliance with professional standards, and that the audit report is appropriate under the circumstances. ISA 600 establishes standards and provide guidelines when using the work of other auditors.</w:t>
      </w:r>
    </w:p>
    <w:p w14:paraId="0942DD22" w14:textId="77777777" w:rsidR="00904445" w:rsidRPr="006C3DE2" w:rsidRDefault="00904445" w:rsidP="006C3DE2">
      <w:pPr>
        <w:numPr>
          <w:ilvl w:val="0"/>
          <w:numId w:val="21"/>
        </w:numPr>
        <w:tabs>
          <w:tab w:val="left" w:pos="968"/>
        </w:tabs>
        <w:spacing w:after="324"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The auditor of the Project’s consolidated financial statement shall express an opinion on whether the statement is prepared, in all material respects, in accordance with the applicable financial reporting framework and the requirements of article 3. To this end, the auditor shall obtain sufficient appropriate audit evidence regarding the financial statements of the cooperating partner and the consolidation process.</w:t>
      </w:r>
    </w:p>
    <w:p w14:paraId="652A25E9" w14:textId="77777777" w:rsidR="00904445" w:rsidRPr="006C3DE2" w:rsidRDefault="00904445" w:rsidP="006C3DE2">
      <w:pPr>
        <w:pStyle w:val="Ttulo60"/>
        <w:numPr>
          <w:ilvl w:val="0"/>
          <w:numId w:val="22"/>
        </w:numPr>
        <w:shd w:val="clear" w:color="auto" w:fill="auto"/>
        <w:tabs>
          <w:tab w:val="left" w:pos="968"/>
        </w:tabs>
        <w:spacing w:before="0" w:after="214" w:line="276" w:lineRule="auto"/>
        <w:ind w:left="1000" w:right="141" w:hanging="560"/>
      </w:pPr>
      <w:bookmarkStart w:id="5" w:name="bookmark5"/>
      <w:r w:rsidRPr="006C3DE2">
        <w:rPr>
          <w:color w:val="000000"/>
          <w:lang w:bidi="en-US"/>
        </w:rPr>
        <w:t>CONTROL MEASURES</w:t>
      </w:r>
      <w:bookmarkEnd w:id="5"/>
    </w:p>
    <w:p w14:paraId="1CFD3D34" w14:textId="77777777" w:rsidR="00904445" w:rsidRPr="006C3DE2" w:rsidRDefault="00904445" w:rsidP="006C3DE2">
      <w:pPr>
        <w:numPr>
          <w:ilvl w:val="1"/>
          <w:numId w:val="22"/>
        </w:numPr>
        <w:tabs>
          <w:tab w:val="left" w:pos="968"/>
        </w:tabs>
        <w:spacing w:after="184"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 xml:space="preserve">Representatives of MFA and the Norwegian Auditor General may at all times carry out independent reviews, audits, field visits or evaluations or other control measures related to the Project. The objective of such control measures may be </w:t>
      </w:r>
      <w:proofErr w:type="spellStart"/>
      <w:r w:rsidRPr="006C3DE2">
        <w:rPr>
          <w:rFonts w:ascii="Times New Roman" w:hAnsi="Times New Roman" w:cs="Times New Roman"/>
          <w:sz w:val="21"/>
          <w:szCs w:val="21"/>
        </w:rPr>
        <w:t>i.a</w:t>
      </w:r>
      <w:proofErr w:type="spellEnd"/>
      <w:r w:rsidRPr="006C3DE2">
        <w:rPr>
          <w:rFonts w:ascii="Times New Roman" w:hAnsi="Times New Roman" w:cs="Times New Roman"/>
          <w:sz w:val="21"/>
          <w:szCs w:val="21"/>
        </w:rPr>
        <w:t xml:space="preserve"> to verify that the Grant has been used in accordance with the Agreement or to evaluate the achievement of results.</w:t>
      </w:r>
    </w:p>
    <w:p w14:paraId="3A21BA66" w14:textId="77777777" w:rsidR="00904445" w:rsidRPr="006C3DE2" w:rsidRDefault="00904445" w:rsidP="006C3DE2">
      <w:pPr>
        <w:numPr>
          <w:ilvl w:val="1"/>
          <w:numId w:val="22"/>
        </w:numPr>
        <w:tabs>
          <w:tab w:val="left" w:pos="968"/>
        </w:tabs>
        <w:spacing w:after="176"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The Grant Recipient shall facilitate such control measures by providing all information and documentation necessary to carry out the relevant initiative, as well as ensuring unrestricted access to any premises, records, goods and documents requested.</w:t>
      </w:r>
    </w:p>
    <w:p w14:paraId="3AF8B1F9" w14:textId="77777777" w:rsidR="00904445" w:rsidRPr="006C3DE2" w:rsidRDefault="00904445" w:rsidP="006C3DE2">
      <w:pPr>
        <w:numPr>
          <w:ilvl w:val="1"/>
          <w:numId w:val="22"/>
        </w:numPr>
        <w:tabs>
          <w:tab w:val="left" w:pos="968"/>
        </w:tabs>
        <w:spacing w:after="184"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The representatives of MFA and the Norwegian Auditor General shall also have access to the Grant Recipient’s auditor and the auditor’s assessments of all information pertaining to the Grant Recipient and the Project. The Grant Recipient shall release the auditor from any confidentiality obligations in order to facilitate such access.</w:t>
      </w:r>
    </w:p>
    <w:p w14:paraId="71D06BE7" w14:textId="77777777" w:rsidR="00904445" w:rsidRPr="006C3DE2" w:rsidRDefault="00904445" w:rsidP="006C3DE2">
      <w:pPr>
        <w:numPr>
          <w:ilvl w:val="1"/>
          <w:numId w:val="22"/>
        </w:numPr>
        <w:tabs>
          <w:tab w:val="left" w:pos="968"/>
        </w:tabs>
        <w:spacing w:after="336"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The rights and obligations of this article 6 shall remain in force for 5 years following expiry or termination of the Agreement, whichever occurs later.</w:t>
      </w:r>
    </w:p>
    <w:p w14:paraId="63C883F0" w14:textId="77777777" w:rsidR="00904445" w:rsidRPr="006C3DE2" w:rsidRDefault="00904445" w:rsidP="006C3DE2">
      <w:pPr>
        <w:pStyle w:val="Textodocorpo30"/>
        <w:numPr>
          <w:ilvl w:val="0"/>
          <w:numId w:val="22"/>
        </w:numPr>
        <w:shd w:val="clear" w:color="auto" w:fill="auto"/>
        <w:tabs>
          <w:tab w:val="left" w:pos="968"/>
        </w:tabs>
        <w:spacing w:after="209" w:line="276" w:lineRule="auto"/>
        <w:ind w:left="1000" w:right="141"/>
        <w:jc w:val="both"/>
      </w:pPr>
      <w:r w:rsidRPr="006C3DE2">
        <w:rPr>
          <w:color w:val="000000"/>
          <w:lang w:bidi="en-US"/>
        </w:rPr>
        <w:t>FINANCIAL MANAGEMENT</w:t>
      </w:r>
    </w:p>
    <w:p w14:paraId="7A539273" w14:textId="264CA11F" w:rsidR="00904445" w:rsidRPr="006C3DE2" w:rsidRDefault="00904445" w:rsidP="006C3DE2">
      <w:pPr>
        <w:numPr>
          <w:ilvl w:val="1"/>
          <w:numId w:val="22"/>
        </w:numPr>
        <w:tabs>
          <w:tab w:val="left" w:pos="968"/>
        </w:tabs>
        <w:spacing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The Grant Recipient shall keep accurate accounts of the Project’s income and expenditure using an appropriate accounting- and double-entry book-keeping system</w:t>
      </w:r>
      <w:r w:rsidR="006C3DE2">
        <w:rPr>
          <w:rStyle w:val="Refdenotaderodap"/>
          <w:rFonts w:ascii="Times New Roman" w:hAnsi="Times New Roman" w:cs="Times New Roman"/>
          <w:sz w:val="21"/>
          <w:szCs w:val="21"/>
        </w:rPr>
        <w:footnoteReference w:id="1"/>
      </w:r>
      <w:r w:rsidRPr="006C3DE2">
        <w:rPr>
          <w:rFonts w:ascii="Times New Roman" w:hAnsi="Times New Roman" w:cs="Times New Roman"/>
          <w:sz w:val="21"/>
          <w:szCs w:val="21"/>
        </w:rPr>
        <w:t>.</w:t>
      </w:r>
    </w:p>
    <w:p w14:paraId="1DF6067D" w14:textId="390BC67F"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The accounts shall be kept up to date at least on a monthly basis. Bank reconciliations</w:t>
      </w:r>
      <w:r w:rsidR="006C3DE2">
        <w:rPr>
          <w:rStyle w:val="Refdenotaderodap"/>
          <w:rFonts w:ascii="Times New Roman" w:hAnsi="Times New Roman" w:cs="Times New Roman"/>
          <w:sz w:val="21"/>
          <w:szCs w:val="21"/>
        </w:rPr>
        <w:footnoteReference w:id="2"/>
      </w:r>
      <w:r w:rsidRPr="006C3DE2">
        <w:rPr>
          <w:rFonts w:ascii="Times New Roman" w:hAnsi="Times New Roman" w:cs="Times New Roman"/>
          <w:sz w:val="21"/>
          <w:szCs w:val="21"/>
        </w:rPr>
        <w:t xml:space="preserve"> and cash reconciliations</w:t>
      </w:r>
      <w:r w:rsidR="006C3DE2">
        <w:rPr>
          <w:rStyle w:val="Refdenotaderodap"/>
          <w:rFonts w:ascii="Times New Roman" w:hAnsi="Times New Roman" w:cs="Times New Roman"/>
          <w:sz w:val="21"/>
          <w:szCs w:val="21"/>
        </w:rPr>
        <w:footnoteReference w:id="3"/>
      </w:r>
      <w:r w:rsidRPr="006C3DE2">
        <w:rPr>
          <w:rFonts w:ascii="Times New Roman" w:hAnsi="Times New Roman" w:cs="Times New Roman"/>
          <w:sz w:val="21"/>
          <w:szCs w:val="21"/>
        </w:rPr>
        <w:t xml:space="preserve"> shall be completed at least every month, and shall be documented by the Grant Recipient.</w:t>
      </w:r>
    </w:p>
    <w:p w14:paraId="4B1D47EF"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Accounts and expenditures relating to the Project must be easily identifiable and verifiable, either by using separate accounts for the Project or by ensuring that Project expenditure can be easily identified and traced within the general accounting- and bookkeeping systems. Insufficient documentation may render the expenditure ineligible. The accounts must provide details of bank interest accrued on the Grant.</w:t>
      </w:r>
    </w:p>
    <w:p w14:paraId="52E429F2" w14:textId="5A38ABA2" w:rsidR="00B00A3D"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 xml:space="preserve">The Grant Recipient shall keep the Project’s accounting records for at least 5 years from the time of MFA's approval of the final report for the Project. This shall include </w:t>
      </w:r>
      <w:proofErr w:type="spellStart"/>
      <w:r w:rsidRPr="006C3DE2">
        <w:rPr>
          <w:rFonts w:ascii="Times New Roman" w:hAnsi="Times New Roman" w:cs="Times New Roman"/>
          <w:sz w:val="21"/>
          <w:szCs w:val="21"/>
        </w:rPr>
        <w:t>i.a.</w:t>
      </w:r>
      <w:proofErr w:type="spellEnd"/>
      <w:r w:rsidRPr="006C3DE2">
        <w:rPr>
          <w:rFonts w:ascii="Times New Roman" w:hAnsi="Times New Roman" w:cs="Times New Roman"/>
          <w:sz w:val="21"/>
          <w:szCs w:val="21"/>
        </w:rPr>
        <w:t xml:space="preserve"> vouchers, receipts, contracts and bank statements.</w:t>
      </w:r>
    </w:p>
    <w:p w14:paraId="162A0561" w14:textId="77777777" w:rsidR="00B00A3D" w:rsidRPr="006C3DE2" w:rsidRDefault="00B00A3D" w:rsidP="006C3DE2">
      <w:pPr>
        <w:pStyle w:val="Textodocorpo30"/>
        <w:numPr>
          <w:ilvl w:val="0"/>
          <w:numId w:val="22"/>
        </w:numPr>
        <w:shd w:val="clear" w:color="auto" w:fill="auto"/>
        <w:tabs>
          <w:tab w:val="left" w:pos="968"/>
        </w:tabs>
        <w:spacing w:before="360" w:after="209" w:line="276" w:lineRule="auto"/>
        <w:ind w:left="1000" w:right="141"/>
        <w:jc w:val="both"/>
      </w:pPr>
      <w:bookmarkStart w:id="6" w:name="bookmark6"/>
      <w:r w:rsidRPr="006C3DE2">
        <w:rPr>
          <w:color w:val="000000"/>
          <w:lang w:bidi="en-US"/>
        </w:rPr>
        <w:t>EXCHANGE RATE FLUCTUATIONS</w:t>
      </w:r>
      <w:bookmarkEnd w:id="6"/>
    </w:p>
    <w:p w14:paraId="7C577143"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If the Grant is converted into another currency, the exchange shall be made through a national or commercial bank unless otherwise approved by MFA. Exchange rates must be stated to four decimal places.</w:t>
      </w:r>
    </w:p>
    <w:p w14:paraId="0448A4A8"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If exchange rate fluctuations decrease the value of the Grant to such an extent that this will have consequences for the implementation of the Project, the Grant Recipient shall inform MFA as soon as possible.</w:t>
      </w:r>
    </w:p>
    <w:p w14:paraId="5BA80877" w14:textId="2B15F444" w:rsidR="00B00A3D"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If exchange rate fluctuations increase the value of the Grant, the surplus shall be treated as disbursed Grant funds and used for Project purposes. This means that net surplus from conversion into foreign currency shall be subtracted from future disbursements or repaid as unused funds at the end of the Support Period, unless otherwise agreed between the Parties.</w:t>
      </w:r>
    </w:p>
    <w:p w14:paraId="5859A72E" w14:textId="77777777" w:rsidR="00B00A3D" w:rsidRPr="006C3DE2" w:rsidRDefault="00B00A3D" w:rsidP="006C3DE2">
      <w:pPr>
        <w:pStyle w:val="Textodocorpo30"/>
        <w:numPr>
          <w:ilvl w:val="0"/>
          <w:numId w:val="22"/>
        </w:numPr>
        <w:shd w:val="clear" w:color="auto" w:fill="auto"/>
        <w:spacing w:before="360" w:after="209" w:line="276" w:lineRule="auto"/>
        <w:ind w:left="1000" w:right="141"/>
        <w:jc w:val="both"/>
      </w:pPr>
      <w:bookmarkStart w:id="7" w:name="bookmark7"/>
      <w:r w:rsidRPr="006C3DE2">
        <w:rPr>
          <w:color w:val="000000"/>
          <w:lang w:bidi="en-US"/>
        </w:rPr>
        <w:t>EQUIPMENT, CONSUMABLES AND INTELLECTUAL PROPERTY RIGHTS</w:t>
      </w:r>
      <w:bookmarkEnd w:id="7"/>
    </w:p>
    <w:p w14:paraId="3BC86507"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The right of ownership to equipment, consumables and intellectual property rights procured or developed by use of the Grant shall vest in the Grant Recipient or its cooperating partner, unless otherwise stated in the Application. All matters associated with such equipment, consumables and intellectual property rights are the exclusive responsibility of the Grant Recipient. However, significant use of such equipment, consumables and intellectual property rights for purposes outside the Project shall be subject to the MFA’s prior approval.</w:t>
      </w:r>
    </w:p>
    <w:p w14:paraId="660398E8"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Intellectual property rights financed in whole or in part from the Grant shall, in the spirit of securing such rights as a common global good, be managed in a way that maximizes their public accessibility and allows the broadest possible use. Material produced as a result of this Grant shall, as far as possible and appropriate, be placed in the public domain for non-commercial use.</w:t>
      </w:r>
    </w:p>
    <w:p w14:paraId="5D53A031"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 xml:space="preserve">MFA shall have a non-exclusive and royalty-free license to use all intellectual property rights procured or developed by the use of the Grant. MFA may assign this right to any individual or </w:t>
      </w:r>
      <w:proofErr w:type="spellStart"/>
      <w:r w:rsidRPr="006C3DE2">
        <w:rPr>
          <w:rFonts w:ascii="Times New Roman" w:hAnsi="Times New Roman" w:cs="Times New Roman"/>
          <w:sz w:val="21"/>
          <w:szCs w:val="21"/>
        </w:rPr>
        <w:t>organisation</w:t>
      </w:r>
      <w:proofErr w:type="spellEnd"/>
      <w:r w:rsidRPr="006C3DE2">
        <w:rPr>
          <w:rFonts w:ascii="Times New Roman" w:hAnsi="Times New Roman" w:cs="Times New Roman"/>
          <w:sz w:val="21"/>
          <w:szCs w:val="21"/>
        </w:rPr>
        <w:t xml:space="preserve"> at its own discretion.</w:t>
      </w:r>
    </w:p>
    <w:p w14:paraId="60A87CE5"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Transfer of ownership of such equipment, consumables or intellectual property rights during the Support Period shall be made at market terms. Ownership may not be transferred to an employee of the Grant Recipient or its cooperating partner, or to anyone related or connected to an employee, if such relation could lead to a conflict of interest as described in article 17 of the General Conditions.</w:t>
      </w:r>
    </w:p>
    <w:p w14:paraId="070FCCC3"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Before a transfer is decided, the Grant Recipient shall assess whether it may have an impact on the Project and, where appropriate, consult with MFA. Any income from a transfer shall accrue to the Project, and shall be reported in the financial statement of the Project.</w:t>
      </w:r>
    </w:p>
    <w:p w14:paraId="38BDE622"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The Grant Recipient shall prepare a record of transfer of ownership for any equipment, consumables and intellectual property rights. The record shall comprise information about the object of transfer, the original purchase price paid by the Grant Recipient, price offers received, the final sales price and the name of the purchaser. The record shall be submitted to MFA along with the first progress report due after the sale.</w:t>
      </w:r>
    </w:p>
    <w:p w14:paraId="5CA5C444" w14:textId="6EFB461E" w:rsidR="00B00A3D"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If the activities of the Project do not continue after the end of the Support Period or after termination of the Agreement, the Grant Recipient shall inform MFA about the remaining equipment and goods that have been purchased by use of the Grant. The MFA may require that such assets be sold. Such sale shall be completed in accordance with the procedures described above. Income from the sale shall be repaid to MFA.</w:t>
      </w:r>
    </w:p>
    <w:p w14:paraId="5E675159" w14:textId="77777777" w:rsidR="00B00A3D" w:rsidRPr="006C3DE2" w:rsidRDefault="00B00A3D" w:rsidP="006C3DE2">
      <w:pPr>
        <w:pStyle w:val="Textodocorpo30"/>
        <w:numPr>
          <w:ilvl w:val="0"/>
          <w:numId w:val="22"/>
        </w:numPr>
        <w:shd w:val="clear" w:color="auto" w:fill="auto"/>
        <w:spacing w:before="360" w:after="209" w:line="276" w:lineRule="auto"/>
        <w:ind w:left="1000" w:right="141"/>
        <w:jc w:val="both"/>
      </w:pPr>
      <w:bookmarkStart w:id="8" w:name="bookmark8"/>
      <w:r w:rsidRPr="006C3DE2">
        <w:rPr>
          <w:color w:val="000000"/>
          <w:lang w:bidi="en-US"/>
        </w:rPr>
        <w:t>REAL PROPERTY</w:t>
      </w:r>
      <w:bookmarkEnd w:id="8"/>
    </w:p>
    <w:p w14:paraId="37B02FE7"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 xml:space="preserve"> The Grant may not be used to purchase or construct real property (land or buildings) unless explicitly approved by MFA. Where MFA has approved a purchase or construction of real property such approval must be </w:t>
      </w:r>
      <w:proofErr w:type="spellStart"/>
      <w:r w:rsidRPr="006C3DE2">
        <w:rPr>
          <w:rFonts w:ascii="Times New Roman" w:hAnsi="Times New Roman" w:cs="Times New Roman"/>
          <w:sz w:val="21"/>
          <w:szCs w:val="21"/>
        </w:rPr>
        <w:t>formalised</w:t>
      </w:r>
      <w:proofErr w:type="spellEnd"/>
      <w:r w:rsidRPr="006C3DE2">
        <w:rPr>
          <w:rFonts w:ascii="Times New Roman" w:hAnsi="Times New Roman" w:cs="Times New Roman"/>
          <w:sz w:val="21"/>
          <w:szCs w:val="21"/>
        </w:rPr>
        <w:t xml:space="preserve"> in the Specific Conditions or in a separate agreement document.</w:t>
      </w:r>
    </w:p>
    <w:p w14:paraId="219096CE"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The Grant Recipient and MFA shall in such agreement decide on the details concerning the ownership and the status of the real property after the end of the Support Period and/or the end of the Project.</w:t>
      </w:r>
    </w:p>
    <w:p w14:paraId="2371AF36" w14:textId="1AE014F4" w:rsidR="00B00A3D"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 xml:space="preserve">MFA may in such an agreement require </w:t>
      </w:r>
      <w:proofErr w:type="spellStart"/>
      <w:r w:rsidRPr="006C3DE2">
        <w:rPr>
          <w:rFonts w:ascii="Times New Roman" w:hAnsi="Times New Roman" w:cs="Times New Roman"/>
          <w:sz w:val="21"/>
          <w:szCs w:val="21"/>
        </w:rPr>
        <w:t>i.a.</w:t>
      </w:r>
      <w:proofErr w:type="spellEnd"/>
      <w:r w:rsidRPr="006C3DE2">
        <w:rPr>
          <w:rFonts w:ascii="Times New Roman" w:hAnsi="Times New Roman" w:cs="Times New Roman"/>
          <w:sz w:val="21"/>
          <w:szCs w:val="21"/>
        </w:rPr>
        <w:t xml:space="preserve"> that the real property shall be sold after the end of the Support Period and that the proceeds from the sale shall be repaid to MFA. MFA may also reserve the right to establish security interests in any real property purchased by use of the Grant.</w:t>
      </w:r>
    </w:p>
    <w:p w14:paraId="5B5B74CB" w14:textId="77777777" w:rsidR="00B00A3D" w:rsidRPr="006C3DE2" w:rsidRDefault="00B00A3D" w:rsidP="006C3DE2">
      <w:pPr>
        <w:pStyle w:val="Textodocorpo30"/>
        <w:numPr>
          <w:ilvl w:val="0"/>
          <w:numId w:val="22"/>
        </w:numPr>
        <w:shd w:val="clear" w:color="auto" w:fill="auto"/>
        <w:spacing w:before="360" w:after="209" w:line="276" w:lineRule="auto"/>
        <w:ind w:left="1000" w:right="141"/>
        <w:jc w:val="both"/>
      </w:pPr>
      <w:bookmarkStart w:id="9" w:name="bookmark9"/>
      <w:r w:rsidRPr="006C3DE2">
        <w:rPr>
          <w:color w:val="000000"/>
          <w:lang w:bidi="en-US"/>
        </w:rPr>
        <w:t>TRANSFER OF THE GRANT TO A COOPERATING PARTNER</w:t>
      </w:r>
      <w:bookmarkEnd w:id="9"/>
    </w:p>
    <w:p w14:paraId="4D319A93"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Transfer of all or part of the Grant including assets to a cooperating partner must be documented through a written sub-grant agreement. The sub-grant agreement shall specify that the cooperating partner is required to comply with the provisions of this Agreement which is relevant to the subgrant agreement and to cooperate with the Grant Recipient to ensure that the Grant Recipient is able to fulfil its overall obligations under the Agreement.</w:t>
      </w:r>
    </w:p>
    <w:p w14:paraId="36487A97" w14:textId="40566370" w:rsidR="00B00A3D"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rFonts w:ascii="Times New Roman" w:hAnsi="Times New Roman" w:cs="Times New Roman"/>
          <w:sz w:val="21"/>
          <w:szCs w:val="21"/>
        </w:rPr>
        <w:t>The sub-grant agreement shall include provisions for results and financial reporting, audit, procurement and measures to prevent financial irregularities. Furthermore, the sub-grant agreement shall explicitly state that:</w:t>
      </w:r>
    </w:p>
    <w:p w14:paraId="69BB888B" w14:textId="77777777" w:rsidR="00B00A3D" w:rsidRPr="006C3DE2" w:rsidRDefault="00B00A3D" w:rsidP="006C3DE2">
      <w:pPr>
        <w:numPr>
          <w:ilvl w:val="0"/>
          <w:numId w:val="9"/>
        </w:numPr>
        <w:spacing w:before="120" w:line="276" w:lineRule="auto"/>
        <w:ind w:left="1134" w:right="141" w:hanging="360"/>
        <w:jc w:val="both"/>
        <w:rPr>
          <w:rFonts w:ascii="Times New Roman" w:hAnsi="Times New Roman" w:cs="Times New Roman"/>
          <w:sz w:val="21"/>
          <w:szCs w:val="21"/>
        </w:rPr>
      </w:pPr>
      <w:r w:rsidRPr="006C3DE2">
        <w:rPr>
          <w:rFonts w:ascii="Times New Roman" w:hAnsi="Times New Roman" w:cs="Times New Roman"/>
          <w:sz w:val="21"/>
          <w:szCs w:val="21"/>
        </w:rPr>
        <w:t>both the Grant Recipient, MFA and the Norwegian Auditor General shall have access to undertake such control measures related to the cooperating partner’s use of the Grant as described in article 6 of the General Conditions,</w:t>
      </w:r>
    </w:p>
    <w:p w14:paraId="688F7375" w14:textId="77777777" w:rsidR="00904445" w:rsidRPr="006C3DE2" w:rsidRDefault="00B00A3D" w:rsidP="006C3DE2">
      <w:pPr>
        <w:numPr>
          <w:ilvl w:val="0"/>
          <w:numId w:val="9"/>
        </w:numPr>
        <w:tabs>
          <w:tab w:val="left" w:pos="918"/>
        </w:tabs>
        <w:spacing w:line="276" w:lineRule="auto"/>
        <w:ind w:left="1134" w:right="141" w:hanging="360"/>
        <w:jc w:val="both"/>
        <w:rPr>
          <w:rFonts w:ascii="Times New Roman" w:hAnsi="Times New Roman" w:cs="Times New Roman"/>
          <w:sz w:val="21"/>
          <w:szCs w:val="21"/>
        </w:rPr>
      </w:pPr>
      <w:r w:rsidRPr="006C3DE2">
        <w:rPr>
          <w:rFonts w:ascii="Times New Roman" w:hAnsi="Times New Roman" w:cs="Times New Roman"/>
          <w:sz w:val="21"/>
          <w:szCs w:val="21"/>
        </w:rPr>
        <w:t>the Grant Recipient shall be entitled to claim repayment from the cooperating partner in the same instances and to the same extent that MFA is entitled to claim repayment from the Grant Recipient, and that MFA has the right to claim repayment directly from the cooperating partner to the same extent as the Grant Recipient,</w:t>
      </w:r>
    </w:p>
    <w:p w14:paraId="69FD02CD" w14:textId="02B15827" w:rsidR="00B00A3D" w:rsidRPr="006C3DE2" w:rsidRDefault="00B00A3D" w:rsidP="006C3DE2">
      <w:pPr>
        <w:numPr>
          <w:ilvl w:val="0"/>
          <w:numId w:val="9"/>
        </w:numPr>
        <w:tabs>
          <w:tab w:val="left" w:pos="918"/>
        </w:tabs>
        <w:spacing w:line="276" w:lineRule="auto"/>
        <w:ind w:left="1134" w:right="141" w:hanging="360"/>
        <w:jc w:val="both"/>
        <w:rPr>
          <w:rFonts w:ascii="Times New Roman" w:hAnsi="Times New Roman" w:cs="Times New Roman"/>
          <w:sz w:val="21"/>
          <w:szCs w:val="21"/>
        </w:rPr>
      </w:pPr>
      <w:r w:rsidRPr="006C3DE2">
        <w:rPr>
          <w:rFonts w:ascii="Times New Roman" w:hAnsi="Times New Roman" w:cs="Times New Roman"/>
          <w:sz w:val="21"/>
          <w:szCs w:val="21"/>
        </w:rPr>
        <w:t>the cooperating partner shall accept the choice of law and settlement of disputes provisions in article 25 of the General Conditions for any dispute arising between the cooperating partner and MFA.</w:t>
      </w:r>
    </w:p>
    <w:p w14:paraId="2A6173BA" w14:textId="77777777" w:rsidR="00B00A3D" w:rsidRPr="006C3DE2" w:rsidRDefault="00B00A3D" w:rsidP="006C3DE2">
      <w:pPr>
        <w:numPr>
          <w:ilvl w:val="0"/>
          <w:numId w:val="10"/>
        </w:numPr>
        <w:spacing w:before="120" w:after="184" w:line="276" w:lineRule="auto"/>
        <w:ind w:left="993" w:right="141" w:hanging="567"/>
        <w:jc w:val="both"/>
        <w:rPr>
          <w:rFonts w:ascii="Times New Roman" w:hAnsi="Times New Roman" w:cs="Times New Roman"/>
          <w:sz w:val="21"/>
          <w:szCs w:val="21"/>
        </w:rPr>
      </w:pPr>
      <w:r w:rsidRPr="006C3DE2">
        <w:rPr>
          <w:rFonts w:ascii="Times New Roman" w:hAnsi="Times New Roman" w:cs="Times New Roman"/>
          <w:sz w:val="21"/>
          <w:szCs w:val="21"/>
        </w:rPr>
        <w:t>The Grant Recipient shall assure itself that the cooperating partner has the necessary competence and internal procedures to meet the requirements of the Agreement that are relevant for the subgrant agreement and shall follow-up the cooperating partner’s compliance with such requirements throughout the Support Period.</w:t>
      </w:r>
    </w:p>
    <w:p w14:paraId="77A166B5" w14:textId="77777777" w:rsidR="00B00A3D" w:rsidRPr="006C3DE2" w:rsidRDefault="00B00A3D" w:rsidP="006C3DE2">
      <w:pPr>
        <w:numPr>
          <w:ilvl w:val="0"/>
          <w:numId w:val="10"/>
        </w:numPr>
        <w:spacing w:after="176" w:line="276" w:lineRule="auto"/>
        <w:ind w:left="993" w:right="141" w:hanging="567"/>
        <w:jc w:val="both"/>
        <w:rPr>
          <w:rFonts w:ascii="Times New Roman" w:hAnsi="Times New Roman" w:cs="Times New Roman"/>
          <w:sz w:val="21"/>
          <w:szCs w:val="21"/>
        </w:rPr>
      </w:pPr>
      <w:r w:rsidRPr="006C3DE2">
        <w:rPr>
          <w:rFonts w:ascii="Times New Roman" w:hAnsi="Times New Roman" w:cs="Times New Roman"/>
          <w:sz w:val="21"/>
          <w:szCs w:val="21"/>
        </w:rPr>
        <w:t>The Grant Recipient must obtain and assess management letters issued to all cooperating partners Any significant findings and a response including an action plan to be submitted to MFA</w:t>
      </w:r>
    </w:p>
    <w:p w14:paraId="05EE1A2E" w14:textId="77777777" w:rsidR="00B00A3D" w:rsidRPr="006C3DE2" w:rsidRDefault="00B00A3D" w:rsidP="006C3DE2">
      <w:pPr>
        <w:numPr>
          <w:ilvl w:val="0"/>
          <w:numId w:val="10"/>
        </w:numPr>
        <w:spacing w:after="180" w:line="276" w:lineRule="auto"/>
        <w:ind w:left="993" w:right="141" w:hanging="567"/>
        <w:jc w:val="both"/>
        <w:rPr>
          <w:rFonts w:ascii="Times New Roman" w:hAnsi="Times New Roman" w:cs="Times New Roman"/>
          <w:sz w:val="21"/>
          <w:szCs w:val="21"/>
        </w:rPr>
      </w:pPr>
      <w:r w:rsidRPr="006C3DE2">
        <w:rPr>
          <w:rFonts w:ascii="Times New Roman" w:hAnsi="Times New Roman" w:cs="Times New Roman"/>
          <w:sz w:val="21"/>
          <w:szCs w:val="21"/>
        </w:rPr>
        <w:t>The Grant may not be transferred to a cooperating partner who has previously been charged or sentenced for any criminal activity unless explicitly approved by MFA.</w:t>
      </w:r>
    </w:p>
    <w:p w14:paraId="1A6F03E5" w14:textId="77777777" w:rsidR="00B00A3D" w:rsidRPr="006C3DE2" w:rsidRDefault="00B00A3D" w:rsidP="006C3DE2">
      <w:pPr>
        <w:numPr>
          <w:ilvl w:val="0"/>
          <w:numId w:val="10"/>
        </w:numPr>
        <w:spacing w:after="315" w:line="276" w:lineRule="auto"/>
        <w:ind w:left="993" w:right="141" w:hanging="567"/>
        <w:jc w:val="both"/>
        <w:rPr>
          <w:rFonts w:ascii="Times New Roman" w:hAnsi="Times New Roman" w:cs="Times New Roman"/>
          <w:sz w:val="21"/>
          <w:szCs w:val="21"/>
        </w:rPr>
      </w:pPr>
      <w:r w:rsidRPr="006C3DE2">
        <w:rPr>
          <w:rFonts w:ascii="Times New Roman" w:hAnsi="Times New Roman" w:cs="Times New Roman"/>
          <w:sz w:val="21"/>
          <w:szCs w:val="21"/>
        </w:rPr>
        <w:t>The Grant Recipient shall remain fully responsible towards MFA for any part of the Grant including assets that has been transferred to a cooperating partner.</w:t>
      </w:r>
    </w:p>
    <w:p w14:paraId="2FF52FF9" w14:textId="77777777" w:rsidR="00B00A3D" w:rsidRPr="006C3DE2" w:rsidRDefault="00B00A3D" w:rsidP="006C3DE2">
      <w:pPr>
        <w:pStyle w:val="Ttulo60"/>
        <w:numPr>
          <w:ilvl w:val="0"/>
          <w:numId w:val="11"/>
        </w:numPr>
        <w:shd w:val="clear" w:color="auto" w:fill="auto"/>
        <w:tabs>
          <w:tab w:val="left" w:pos="712"/>
        </w:tabs>
        <w:spacing w:before="0" w:after="285" w:line="276" w:lineRule="auto"/>
        <w:ind w:left="720" w:right="141" w:hanging="400"/>
        <w:jc w:val="left"/>
      </w:pPr>
      <w:bookmarkStart w:id="10" w:name="bookmark10"/>
      <w:r w:rsidRPr="006C3DE2">
        <w:rPr>
          <w:color w:val="000000"/>
          <w:lang w:bidi="en-US"/>
        </w:rPr>
        <w:t>CHANGES OR CIRCUMSTANCES AFFECTING THE PROJECT OR THE GRANT RECIPIENT</w:t>
      </w:r>
      <w:bookmarkEnd w:id="10"/>
    </w:p>
    <w:p w14:paraId="6C3E3DBE" w14:textId="77777777" w:rsidR="00B00A3D" w:rsidRPr="006C3DE2" w:rsidRDefault="00B00A3D" w:rsidP="006C3DE2">
      <w:pPr>
        <w:numPr>
          <w:ilvl w:val="1"/>
          <w:numId w:val="11"/>
        </w:numPr>
        <w:tabs>
          <w:tab w:val="left" w:pos="864"/>
        </w:tabs>
        <w:spacing w:line="276" w:lineRule="auto"/>
        <w:ind w:left="860" w:right="141" w:hanging="540"/>
        <w:rPr>
          <w:rFonts w:ascii="Times New Roman" w:hAnsi="Times New Roman" w:cs="Times New Roman"/>
          <w:sz w:val="21"/>
          <w:szCs w:val="21"/>
        </w:rPr>
      </w:pPr>
      <w:r w:rsidRPr="006C3DE2">
        <w:rPr>
          <w:rFonts w:ascii="Times New Roman" w:hAnsi="Times New Roman" w:cs="Times New Roman"/>
          <w:sz w:val="21"/>
          <w:szCs w:val="21"/>
        </w:rPr>
        <w:t xml:space="preserve">The Grant Recipient shall immediately inform MFA of circumstances likely to hamper, delay or otherwise significantly affect the successful implementation of the Project. The same applies to significant changes to. or circumstances materially affecting, the Grant Recipient’s </w:t>
      </w:r>
      <w:proofErr w:type="spellStart"/>
      <w:r w:rsidRPr="006C3DE2">
        <w:rPr>
          <w:rFonts w:ascii="Times New Roman" w:hAnsi="Times New Roman" w:cs="Times New Roman"/>
          <w:sz w:val="21"/>
          <w:szCs w:val="21"/>
        </w:rPr>
        <w:t>organisation</w:t>
      </w:r>
      <w:proofErr w:type="spellEnd"/>
      <w:r w:rsidRPr="006C3DE2">
        <w:rPr>
          <w:rFonts w:ascii="Times New Roman" w:hAnsi="Times New Roman" w:cs="Times New Roman"/>
          <w:sz w:val="21"/>
          <w:szCs w:val="21"/>
        </w:rPr>
        <w:t>. MFA may suspend disbursement of the Grant until the implications for the Project has been assessed.</w:t>
      </w:r>
    </w:p>
    <w:p w14:paraId="2AD39D82" w14:textId="77777777" w:rsidR="00B00A3D" w:rsidRPr="006C3DE2" w:rsidRDefault="00B00A3D" w:rsidP="006C3DE2">
      <w:pPr>
        <w:pStyle w:val="Ttulo60"/>
        <w:numPr>
          <w:ilvl w:val="0"/>
          <w:numId w:val="11"/>
        </w:numPr>
        <w:shd w:val="clear" w:color="auto" w:fill="auto"/>
        <w:tabs>
          <w:tab w:val="left" w:pos="712"/>
        </w:tabs>
        <w:spacing w:before="240" w:after="205" w:line="276" w:lineRule="auto"/>
        <w:ind w:left="860" w:right="141" w:hanging="540"/>
      </w:pPr>
      <w:bookmarkStart w:id="11" w:name="bookmark11"/>
      <w:r w:rsidRPr="006C3DE2">
        <w:rPr>
          <w:color w:val="000000"/>
          <w:lang w:bidi="en-US"/>
        </w:rPr>
        <w:t>EXTENSION OF THE SUPPORT PERIOD</w:t>
      </w:r>
      <w:bookmarkEnd w:id="11"/>
    </w:p>
    <w:p w14:paraId="134E44E5" w14:textId="77777777" w:rsidR="00B00A3D" w:rsidRPr="006C3DE2" w:rsidRDefault="00B00A3D" w:rsidP="006C3DE2">
      <w:pPr>
        <w:numPr>
          <w:ilvl w:val="1"/>
          <w:numId w:val="11"/>
        </w:numPr>
        <w:tabs>
          <w:tab w:val="left" w:pos="864"/>
        </w:tabs>
        <w:spacing w:after="339" w:line="276" w:lineRule="auto"/>
        <w:ind w:left="860" w:right="141" w:hanging="540"/>
        <w:jc w:val="both"/>
        <w:rPr>
          <w:rFonts w:ascii="Times New Roman" w:hAnsi="Times New Roman" w:cs="Times New Roman"/>
          <w:sz w:val="21"/>
          <w:szCs w:val="21"/>
        </w:rPr>
      </w:pPr>
      <w:r w:rsidRPr="006C3DE2">
        <w:rPr>
          <w:rFonts w:ascii="Times New Roman" w:hAnsi="Times New Roman" w:cs="Times New Roman"/>
          <w:sz w:val="21"/>
          <w:szCs w:val="21"/>
        </w:rPr>
        <w:t>The Grant Recipient may request an extension of the Support Period if this is necessary to complete all planned activities. The request must state the reasons for the delay and supporting documentation must be enclosed. MFA shall approve or decline the request in writing.</w:t>
      </w:r>
    </w:p>
    <w:p w14:paraId="3CB5AF4D" w14:textId="77777777" w:rsidR="00B00A3D" w:rsidRPr="006C3DE2" w:rsidRDefault="00B00A3D" w:rsidP="006C3DE2">
      <w:pPr>
        <w:pStyle w:val="Textodocorpo30"/>
        <w:numPr>
          <w:ilvl w:val="0"/>
          <w:numId w:val="11"/>
        </w:numPr>
        <w:shd w:val="clear" w:color="auto" w:fill="auto"/>
        <w:tabs>
          <w:tab w:val="left" w:pos="712"/>
        </w:tabs>
        <w:spacing w:after="205" w:line="276" w:lineRule="auto"/>
        <w:ind w:left="860" w:right="141" w:hanging="540"/>
        <w:jc w:val="both"/>
      </w:pPr>
      <w:r w:rsidRPr="006C3DE2">
        <w:rPr>
          <w:color w:val="000000"/>
          <w:lang w:bidi="en-US"/>
        </w:rPr>
        <w:t>TRANSPARENCY</w:t>
      </w:r>
    </w:p>
    <w:p w14:paraId="2112F9F6" w14:textId="77777777" w:rsidR="00B00A3D" w:rsidRPr="006C3DE2" w:rsidRDefault="00B00A3D" w:rsidP="006C3DE2">
      <w:pPr>
        <w:numPr>
          <w:ilvl w:val="1"/>
          <w:numId w:val="11"/>
        </w:numPr>
        <w:spacing w:after="180" w:line="276" w:lineRule="auto"/>
        <w:ind w:left="860" w:right="141" w:hanging="540"/>
        <w:jc w:val="both"/>
        <w:rPr>
          <w:rFonts w:ascii="Times New Roman" w:hAnsi="Times New Roman" w:cs="Times New Roman"/>
          <w:sz w:val="21"/>
          <w:szCs w:val="21"/>
        </w:rPr>
      </w:pPr>
      <w:r w:rsidRPr="006C3DE2">
        <w:rPr>
          <w:rFonts w:ascii="Times New Roman" w:hAnsi="Times New Roman" w:cs="Times New Roman"/>
          <w:sz w:val="21"/>
          <w:szCs w:val="21"/>
        </w:rPr>
        <w:t>MFA may make this Agreement and other Project documentation, such as but not limited to, the Application and agreed reports available to the public to promote transparency of the use of public funds.</w:t>
      </w:r>
    </w:p>
    <w:p w14:paraId="700C15CD" w14:textId="77777777" w:rsidR="00B00A3D" w:rsidRPr="006C3DE2" w:rsidRDefault="00B00A3D" w:rsidP="006C3DE2">
      <w:pPr>
        <w:numPr>
          <w:ilvl w:val="1"/>
          <w:numId w:val="11"/>
        </w:numPr>
        <w:spacing w:after="339" w:line="276" w:lineRule="auto"/>
        <w:ind w:left="860" w:right="141" w:hanging="540"/>
        <w:jc w:val="both"/>
        <w:rPr>
          <w:rFonts w:ascii="Times New Roman" w:hAnsi="Times New Roman" w:cs="Times New Roman"/>
          <w:sz w:val="21"/>
          <w:szCs w:val="21"/>
        </w:rPr>
      </w:pPr>
      <w:r w:rsidRPr="006C3DE2">
        <w:rPr>
          <w:rFonts w:ascii="Times New Roman" w:hAnsi="Times New Roman" w:cs="Times New Roman"/>
          <w:sz w:val="21"/>
          <w:szCs w:val="21"/>
        </w:rPr>
        <w:t>The Grant Recipient shall make the Project documentation, including the Application and all agreed reports, available to anyone upon request. Requests for disclosure may only be denied if such disclosure is prohibited by confidentiality obligations and/or if it may be detrimental to the Grant Recipient's legitimate interests.</w:t>
      </w:r>
    </w:p>
    <w:p w14:paraId="1AAD4599" w14:textId="77777777" w:rsidR="00B00A3D" w:rsidRPr="006C3DE2" w:rsidRDefault="00B00A3D" w:rsidP="006C3DE2">
      <w:pPr>
        <w:pStyle w:val="Textodocorpo30"/>
        <w:numPr>
          <w:ilvl w:val="0"/>
          <w:numId w:val="11"/>
        </w:numPr>
        <w:shd w:val="clear" w:color="auto" w:fill="auto"/>
        <w:tabs>
          <w:tab w:val="left" w:pos="712"/>
        </w:tabs>
        <w:spacing w:after="0" w:line="276" w:lineRule="auto"/>
        <w:ind w:left="860" w:right="141" w:hanging="540"/>
        <w:jc w:val="both"/>
      </w:pPr>
      <w:r w:rsidRPr="006C3DE2">
        <w:rPr>
          <w:color w:val="000000"/>
          <w:lang w:bidi="en-US"/>
        </w:rPr>
        <w:t>FINANCIAL IRREGULARITIES</w:t>
      </w:r>
    </w:p>
    <w:p w14:paraId="5EF49F83" w14:textId="77777777" w:rsidR="0069108A" w:rsidRPr="006C3DE2" w:rsidRDefault="00B00A3D" w:rsidP="006C3DE2">
      <w:pPr>
        <w:numPr>
          <w:ilvl w:val="1"/>
          <w:numId w:val="11"/>
        </w:numPr>
        <w:spacing w:before="240" w:after="100" w:afterAutospacing="1" w:line="276" w:lineRule="auto"/>
        <w:ind w:left="860" w:right="141" w:hanging="540"/>
        <w:jc w:val="both"/>
        <w:rPr>
          <w:rFonts w:ascii="Times New Roman" w:hAnsi="Times New Roman" w:cs="Times New Roman"/>
          <w:sz w:val="21"/>
          <w:szCs w:val="21"/>
        </w:rPr>
      </w:pPr>
      <w:r w:rsidRPr="006C3DE2">
        <w:rPr>
          <w:rFonts w:ascii="Times New Roman" w:hAnsi="Times New Roman" w:cs="Times New Roman"/>
          <w:sz w:val="21"/>
          <w:szCs w:val="21"/>
        </w:rPr>
        <w:t xml:space="preserve">The Grant Recipient is required to </w:t>
      </w:r>
      <w:proofErr w:type="spellStart"/>
      <w:r w:rsidRPr="006C3DE2">
        <w:rPr>
          <w:rFonts w:ascii="Times New Roman" w:hAnsi="Times New Roman" w:cs="Times New Roman"/>
          <w:sz w:val="21"/>
          <w:szCs w:val="21"/>
        </w:rPr>
        <w:t>practise</w:t>
      </w:r>
      <w:proofErr w:type="spellEnd"/>
      <w:r w:rsidRPr="006C3DE2">
        <w:rPr>
          <w:rFonts w:ascii="Times New Roman" w:hAnsi="Times New Roman" w:cs="Times New Roman"/>
          <w:sz w:val="21"/>
          <w:szCs w:val="21"/>
        </w:rPr>
        <w:t xml:space="preserve"> zero tolerance against corruption and other financial irregularities within and related to the Project. The zero-tolerance policy applies to all staff members, consultants and other non-staff personnel and to cooperating partners and where relevant beneficiaries of the Grant.</w:t>
      </w:r>
    </w:p>
    <w:p w14:paraId="665F9862" w14:textId="47F6B7C3" w:rsidR="00B00A3D"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rFonts w:ascii="Times New Roman" w:hAnsi="Times New Roman" w:cs="Times New Roman"/>
          <w:sz w:val="21"/>
          <w:szCs w:val="21"/>
        </w:rPr>
        <w:t>“Financial irregularities” refers to all kinds of:</w:t>
      </w:r>
    </w:p>
    <w:p w14:paraId="7C65D55E" w14:textId="77777777" w:rsidR="00B00A3D" w:rsidRPr="006C3DE2" w:rsidRDefault="00B00A3D" w:rsidP="006C3DE2">
      <w:pPr>
        <w:numPr>
          <w:ilvl w:val="0"/>
          <w:numId w:val="12"/>
        </w:numPr>
        <w:spacing w:before="240" w:line="276" w:lineRule="auto"/>
        <w:ind w:left="993" w:right="141" w:hanging="340"/>
        <w:jc w:val="both"/>
        <w:rPr>
          <w:rFonts w:ascii="Times New Roman" w:hAnsi="Times New Roman" w:cs="Times New Roman"/>
          <w:sz w:val="21"/>
          <w:szCs w:val="21"/>
        </w:rPr>
      </w:pPr>
      <w:r w:rsidRPr="006C3DE2">
        <w:rPr>
          <w:rFonts w:ascii="Times New Roman" w:hAnsi="Times New Roman" w:cs="Times New Roman"/>
          <w:sz w:val="21"/>
          <w:szCs w:val="21"/>
        </w:rPr>
        <w:t>corruption, including bribery, nepotism and illegal gratuities;</w:t>
      </w:r>
    </w:p>
    <w:p w14:paraId="69B77B52" w14:textId="77777777" w:rsidR="00B00A3D" w:rsidRPr="006C3DE2" w:rsidRDefault="00B00A3D" w:rsidP="006C3DE2">
      <w:pPr>
        <w:numPr>
          <w:ilvl w:val="0"/>
          <w:numId w:val="12"/>
        </w:numPr>
        <w:spacing w:line="276" w:lineRule="auto"/>
        <w:ind w:left="993" w:right="141" w:hanging="340"/>
        <w:jc w:val="both"/>
        <w:rPr>
          <w:rFonts w:ascii="Times New Roman" w:hAnsi="Times New Roman" w:cs="Times New Roman"/>
          <w:sz w:val="21"/>
          <w:szCs w:val="21"/>
        </w:rPr>
      </w:pPr>
      <w:r w:rsidRPr="006C3DE2">
        <w:rPr>
          <w:rFonts w:ascii="Times New Roman" w:hAnsi="Times New Roman" w:cs="Times New Roman"/>
          <w:sz w:val="21"/>
          <w:szCs w:val="21"/>
        </w:rPr>
        <w:t>misappropriation of cash, inventory and all other kinds of assets;</w:t>
      </w:r>
    </w:p>
    <w:p w14:paraId="3F02E283" w14:textId="77777777" w:rsidR="00B00A3D" w:rsidRPr="006C3DE2" w:rsidRDefault="00B00A3D" w:rsidP="006C3DE2">
      <w:pPr>
        <w:numPr>
          <w:ilvl w:val="0"/>
          <w:numId w:val="12"/>
        </w:numPr>
        <w:spacing w:line="276" w:lineRule="auto"/>
        <w:ind w:left="993" w:right="141" w:hanging="340"/>
        <w:jc w:val="both"/>
        <w:rPr>
          <w:rFonts w:ascii="Times New Roman" w:hAnsi="Times New Roman" w:cs="Times New Roman"/>
          <w:sz w:val="21"/>
          <w:szCs w:val="21"/>
        </w:rPr>
      </w:pPr>
      <w:r w:rsidRPr="006C3DE2">
        <w:rPr>
          <w:rFonts w:ascii="Times New Roman" w:hAnsi="Times New Roman" w:cs="Times New Roman"/>
          <w:sz w:val="21"/>
          <w:szCs w:val="21"/>
        </w:rPr>
        <w:t>financial and non-financial fraudulent statements;</w:t>
      </w:r>
    </w:p>
    <w:p w14:paraId="6CB8A0BE" w14:textId="77777777" w:rsidR="00B00A3D" w:rsidRPr="006C3DE2" w:rsidRDefault="00B00A3D" w:rsidP="006C3DE2">
      <w:pPr>
        <w:numPr>
          <w:ilvl w:val="0"/>
          <w:numId w:val="12"/>
        </w:numPr>
        <w:spacing w:line="276" w:lineRule="auto"/>
        <w:ind w:left="993" w:right="141" w:hanging="340"/>
        <w:jc w:val="both"/>
        <w:rPr>
          <w:rFonts w:ascii="Times New Roman" w:hAnsi="Times New Roman" w:cs="Times New Roman"/>
          <w:sz w:val="21"/>
          <w:szCs w:val="21"/>
        </w:rPr>
      </w:pPr>
      <w:r w:rsidRPr="006C3DE2">
        <w:rPr>
          <w:rFonts w:ascii="Times New Roman" w:hAnsi="Times New Roman" w:cs="Times New Roman"/>
          <w:sz w:val="21"/>
          <w:szCs w:val="21"/>
        </w:rPr>
        <w:t>all other use of Project funds which is not in accordance with the Agreement.</w:t>
      </w:r>
    </w:p>
    <w:p w14:paraId="01FB7B1C" w14:textId="77777777" w:rsidR="00B00A3D"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rFonts w:ascii="Times New Roman" w:hAnsi="Times New Roman" w:cs="Times New Roman"/>
          <w:sz w:val="21"/>
          <w:szCs w:val="21"/>
        </w:rPr>
        <w:t>In order to fulfil the zero-tolerance requirement, the Grant Recipient shall:</w:t>
      </w:r>
    </w:p>
    <w:p w14:paraId="27AE8BCF" w14:textId="77777777" w:rsidR="00B00A3D" w:rsidRPr="006C3DE2" w:rsidRDefault="00B00A3D" w:rsidP="006C3DE2">
      <w:pPr>
        <w:numPr>
          <w:ilvl w:val="0"/>
          <w:numId w:val="13"/>
        </w:numPr>
        <w:spacing w:before="240" w:line="276" w:lineRule="auto"/>
        <w:ind w:left="993" w:right="141" w:hanging="340"/>
        <w:rPr>
          <w:rFonts w:ascii="Times New Roman" w:hAnsi="Times New Roman" w:cs="Times New Roman"/>
          <w:sz w:val="21"/>
          <w:szCs w:val="21"/>
        </w:rPr>
      </w:pPr>
      <w:proofErr w:type="spellStart"/>
      <w:r w:rsidRPr="006C3DE2">
        <w:rPr>
          <w:rFonts w:ascii="Times New Roman" w:hAnsi="Times New Roman" w:cs="Times New Roman"/>
          <w:sz w:val="21"/>
          <w:szCs w:val="21"/>
        </w:rPr>
        <w:t>organise</w:t>
      </w:r>
      <w:proofErr w:type="spellEnd"/>
      <w:r w:rsidRPr="006C3DE2">
        <w:rPr>
          <w:rFonts w:ascii="Times New Roman" w:hAnsi="Times New Roman" w:cs="Times New Roman"/>
          <w:sz w:val="21"/>
          <w:szCs w:val="21"/>
        </w:rPr>
        <w:t xml:space="preserve"> its operations and internal control systems in a way that financial irregularities are prevented and detected;</w:t>
      </w:r>
    </w:p>
    <w:p w14:paraId="6E36453D" w14:textId="77777777" w:rsidR="00B00A3D" w:rsidRPr="006C3DE2" w:rsidRDefault="00B00A3D" w:rsidP="006C3DE2">
      <w:pPr>
        <w:numPr>
          <w:ilvl w:val="0"/>
          <w:numId w:val="13"/>
        </w:numPr>
        <w:spacing w:line="276" w:lineRule="auto"/>
        <w:ind w:left="993" w:right="141" w:hanging="340"/>
        <w:jc w:val="both"/>
        <w:rPr>
          <w:rFonts w:ascii="Times New Roman" w:hAnsi="Times New Roman" w:cs="Times New Roman"/>
          <w:sz w:val="21"/>
          <w:szCs w:val="21"/>
        </w:rPr>
      </w:pPr>
      <w:r w:rsidRPr="006C3DE2">
        <w:rPr>
          <w:rFonts w:ascii="Times New Roman" w:hAnsi="Times New Roman" w:cs="Times New Roman"/>
          <w:sz w:val="21"/>
          <w:szCs w:val="21"/>
        </w:rPr>
        <w:t>do its utmost to prevent and stop financial irregularities within and related to the Project;</w:t>
      </w:r>
    </w:p>
    <w:p w14:paraId="330B191E" w14:textId="77777777" w:rsidR="00B00A3D" w:rsidRPr="006C3DE2" w:rsidRDefault="00B00A3D" w:rsidP="006C3DE2">
      <w:pPr>
        <w:numPr>
          <w:ilvl w:val="0"/>
          <w:numId w:val="13"/>
        </w:numPr>
        <w:spacing w:line="276" w:lineRule="auto"/>
        <w:ind w:left="993" w:right="141" w:hanging="340"/>
        <w:jc w:val="both"/>
        <w:rPr>
          <w:rFonts w:ascii="Times New Roman" w:hAnsi="Times New Roman" w:cs="Times New Roman"/>
          <w:sz w:val="21"/>
          <w:szCs w:val="21"/>
        </w:rPr>
      </w:pPr>
      <w:r w:rsidRPr="006C3DE2">
        <w:rPr>
          <w:rFonts w:ascii="Times New Roman" w:hAnsi="Times New Roman" w:cs="Times New Roman"/>
          <w:sz w:val="21"/>
          <w:szCs w:val="21"/>
        </w:rPr>
        <w:t>require that all staff involved in, and any consultants, suppliers and contractors financed under the Project refrain from financial irregularities.</w:t>
      </w:r>
    </w:p>
    <w:p w14:paraId="4BCF535D" w14:textId="77777777" w:rsidR="00B00A3D"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rFonts w:ascii="Times New Roman" w:hAnsi="Times New Roman" w:cs="Times New Roman"/>
          <w:sz w:val="21"/>
          <w:szCs w:val="21"/>
        </w:rPr>
        <w:t>The Grant Recipient shall inform MFA immediately of any indication of financial irregularities in or related to the Project. The Grant Recipient shall provide MFA with an account of all the known facts and an assessment of how the matter should be followed up. including whether criminal prosecution or other sanctions are considered appropriate.</w:t>
      </w:r>
    </w:p>
    <w:p w14:paraId="6BBDEADA" w14:textId="77777777" w:rsidR="00B00A3D"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rFonts w:ascii="Times New Roman" w:hAnsi="Times New Roman" w:cs="Times New Roman"/>
          <w:sz w:val="21"/>
          <w:szCs w:val="21"/>
        </w:rPr>
        <w:t>The matter will be handled by MFA in accordance with MFA's guidelines for handling suspicion of financial irregularities. The Grant Recipient shall cooperate fully with MFA’s investigation and follow-up. If requested by MFA, the Grant Recipient shall, provided there is sufficient basis for taking legal steps, report the suspicions to the police, commence civil proceedings for recovery of damages or apply other appropriate sanctions against persons or entities suspected of financial irregularities. However, in cases where the Grant Recipient is concerned that due process of law may be unavailable, the matter shall instead be included in the account and assessment referred to in clause 15.4 for discussion of a mutually acceptable course of action.</w:t>
      </w:r>
    </w:p>
    <w:p w14:paraId="6FE7A5C1" w14:textId="77777777" w:rsidR="00B00A3D" w:rsidRPr="006C3DE2" w:rsidRDefault="00B00A3D" w:rsidP="006C3DE2">
      <w:pPr>
        <w:pStyle w:val="Textodocorpo30"/>
        <w:numPr>
          <w:ilvl w:val="0"/>
          <w:numId w:val="11"/>
        </w:numPr>
        <w:shd w:val="clear" w:color="auto" w:fill="auto"/>
        <w:tabs>
          <w:tab w:val="left" w:pos="712"/>
        </w:tabs>
        <w:spacing w:before="240" w:after="0" w:line="276" w:lineRule="auto"/>
        <w:ind w:left="860" w:right="141" w:hanging="540"/>
        <w:jc w:val="both"/>
      </w:pPr>
      <w:bookmarkStart w:id="12" w:name="bookmark12"/>
      <w:r w:rsidRPr="006C3DE2">
        <w:rPr>
          <w:color w:val="000000"/>
          <w:lang w:bidi="en-US"/>
        </w:rPr>
        <w:t>SEXUAL EXPLOITATION, ABUSE AND HARASSMENT</w:t>
      </w:r>
      <w:bookmarkEnd w:id="12"/>
    </w:p>
    <w:p w14:paraId="7BF7DABE" w14:textId="77777777" w:rsidR="0069108A"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rFonts w:ascii="Times New Roman" w:hAnsi="Times New Roman" w:cs="Times New Roman"/>
          <w:sz w:val="21"/>
          <w:szCs w:val="21"/>
        </w:rPr>
        <w:t>MFA has zero tolerance for inaction against sexual exploitation, abuse and harassment (SEAH). The Grant Recipient shall have a victim/survivor-</w:t>
      </w:r>
      <w:proofErr w:type="spellStart"/>
      <w:r w:rsidRPr="006C3DE2">
        <w:rPr>
          <w:rFonts w:ascii="Times New Roman" w:hAnsi="Times New Roman" w:cs="Times New Roman"/>
          <w:sz w:val="21"/>
          <w:szCs w:val="21"/>
        </w:rPr>
        <w:t>centred</w:t>
      </w:r>
      <w:proofErr w:type="spellEnd"/>
      <w:r w:rsidRPr="006C3DE2">
        <w:rPr>
          <w:rFonts w:ascii="Times New Roman" w:hAnsi="Times New Roman" w:cs="Times New Roman"/>
          <w:sz w:val="21"/>
          <w:szCs w:val="21"/>
        </w:rPr>
        <w:t xml:space="preserve"> approach to SEAH issues and do its utmost to prevent, detect and respond to SEAH within and related to the Project. This obligation applies to all staff members, consultants and other non-staff personnel, cooperating partners, and any third parties involved in activities funded by the Grant.</w:t>
      </w:r>
    </w:p>
    <w:p w14:paraId="2ACEAF0F" w14:textId="2FFC4535" w:rsidR="00B00A3D"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rFonts w:ascii="Times New Roman" w:hAnsi="Times New Roman" w:cs="Times New Roman"/>
          <w:sz w:val="21"/>
          <w:szCs w:val="21"/>
        </w:rPr>
        <w:t>The following definitions apply:</w:t>
      </w:r>
    </w:p>
    <w:p w14:paraId="561EA3AC" w14:textId="77777777" w:rsidR="00B00A3D" w:rsidRPr="006C3DE2" w:rsidRDefault="00B00A3D" w:rsidP="006C3DE2">
      <w:pPr>
        <w:numPr>
          <w:ilvl w:val="0"/>
          <w:numId w:val="14"/>
        </w:numPr>
        <w:spacing w:before="240" w:line="276" w:lineRule="auto"/>
        <w:ind w:left="993" w:right="141" w:hanging="340"/>
        <w:jc w:val="both"/>
        <w:rPr>
          <w:rFonts w:ascii="Times New Roman" w:hAnsi="Times New Roman" w:cs="Times New Roman"/>
          <w:sz w:val="21"/>
          <w:szCs w:val="21"/>
        </w:rPr>
      </w:pPr>
      <w:r w:rsidRPr="006C3DE2">
        <w:rPr>
          <w:rFonts w:ascii="Times New Roman" w:hAnsi="Times New Roman" w:cs="Times New Roman"/>
          <w:sz w:val="21"/>
          <w:szCs w:val="21"/>
        </w:rPr>
        <w:t>Sexual exploitation: Any actual or attempted abuse of a position of vulnerability, differential power, or trust, for sexual purposes, including, but not limited to, profiting monetarily, socially or politically from the sexual exploitation of another.</w:t>
      </w:r>
    </w:p>
    <w:p w14:paraId="7079D36D" w14:textId="77777777" w:rsidR="00B00A3D" w:rsidRPr="006C3DE2" w:rsidRDefault="00B00A3D" w:rsidP="006C3DE2">
      <w:pPr>
        <w:numPr>
          <w:ilvl w:val="0"/>
          <w:numId w:val="14"/>
        </w:numPr>
        <w:spacing w:line="276" w:lineRule="auto"/>
        <w:ind w:left="993" w:right="141" w:hanging="340"/>
        <w:jc w:val="both"/>
        <w:rPr>
          <w:rFonts w:ascii="Times New Roman" w:hAnsi="Times New Roman" w:cs="Times New Roman"/>
          <w:sz w:val="21"/>
          <w:szCs w:val="21"/>
        </w:rPr>
      </w:pPr>
      <w:r w:rsidRPr="006C3DE2">
        <w:rPr>
          <w:rFonts w:ascii="Times New Roman" w:hAnsi="Times New Roman" w:cs="Times New Roman"/>
          <w:sz w:val="21"/>
          <w:szCs w:val="21"/>
        </w:rPr>
        <w:t>Sexual abuse: The actual or threatened physical intrusion of a sexual nature, whether by force or under unequal or coercive conditions.</w:t>
      </w:r>
    </w:p>
    <w:p w14:paraId="0CB0E38D" w14:textId="77777777" w:rsidR="00B00A3D" w:rsidRPr="006C3DE2" w:rsidRDefault="00B00A3D" w:rsidP="006C3DE2">
      <w:pPr>
        <w:numPr>
          <w:ilvl w:val="0"/>
          <w:numId w:val="14"/>
        </w:numPr>
        <w:spacing w:line="276" w:lineRule="auto"/>
        <w:ind w:left="993" w:right="141" w:hanging="340"/>
        <w:jc w:val="both"/>
        <w:rPr>
          <w:rFonts w:ascii="Times New Roman" w:hAnsi="Times New Roman" w:cs="Times New Roman"/>
          <w:sz w:val="21"/>
          <w:szCs w:val="21"/>
        </w:rPr>
      </w:pPr>
      <w:r w:rsidRPr="006C3DE2">
        <w:rPr>
          <w:rFonts w:ascii="Times New Roman" w:hAnsi="Times New Roman" w:cs="Times New Roman"/>
          <w:sz w:val="21"/>
          <w:szCs w:val="21"/>
        </w:rPr>
        <w:t>Sexual harassment: Any form of unwanted sexual attention that has the purpose or effect of being offensive, frightening, hostile, degrading, humiliating or troublesome.</w:t>
      </w:r>
    </w:p>
    <w:p w14:paraId="410885DB" w14:textId="77777777" w:rsidR="0069108A" w:rsidRPr="006C3DE2" w:rsidRDefault="0069108A" w:rsidP="006C3DE2">
      <w:pPr>
        <w:numPr>
          <w:ilvl w:val="0"/>
          <w:numId w:val="23"/>
        </w:numPr>
        <w:tabs>
          <w:tab w:val="left" w:pos="883"/>
        </w:tabs>
        <w:spacing w:before="240" w:after="224" w:line="276" w:lineRule="auto"/>
        <w:ind w:left="840" w:right="141" w:hanging="520"/>
        <w:jc w:val="both"/>
        <w:rPr>
          <w:rFonts w:ascii="Times New Roman" w:hAnsi="Times New Roman" w:cs="Times New Roman"/>
          <w:sz w:val="21"/>
          <w:szCs w:val="21"/>
        </w:rPr>
      </w:pPr>
      <w:bookmarkStart w:id="13" w:name="bookmark15"/>
      <w:r w:rsidRPr="006C3DE2">
        <w:rPr>
          <w:rFonts w:ascii="Times New Roman" w:hAnsi="Times New Roman" w:cs="Times New Roman"/>
          <w:sz w:val="21"/>
          <w:szCs w:val="21"/>
        </w:rPr>
        <w:t>The Grant Recipient shall:</w:t>
      </w:r>
    </w:p>
    <w:p w14:paraId="7F03FC78" w14:textId="77777777" w:rsidR="0069108A" w:rsidRPr="006C3DE2" w:rsidRDefault="0069108A" w:rsidP="006C3DE2">
      <w:pPr>
        <w:numPr>
          <w:ilvl w:val="0"/>
          <w:numId w:val="24"/>
        </w:numPr>
        <w:tabs>
          <w:tab w:val="left" w:pos="1000"/>
        </w:tabs>
        <w:spacing w:line="276" w:lineRule="auto"/>
        <w:ind w:left="980" w:right="141" w:hanging="340"/>
        <w:jc w:val="both"/>
        <w:rPr>
          <w:rFonts w:ascii="Times New Roman" w:hAnsi="Times New Roman" w:cs="Times New Roman"/>
          <w:sz w:val="21"/>
          <w:szCs w:val="21"/>
        </w:rPr>
      </w:pPr>
      <w:r w:rsidRPr="006C3DE2">
        <w:rPr>
          <w:rFonts w:ascii="Times New Roman" w:hAnsi="Times New Roman" w:cs="Times New Roman"/>
          <w:sz w:val="21"/>
          <w:szCs w:val="21"/>
        </w:rPr>
        <w:t xml:space="preserve">Adhere to the </w:t>
      </w:r>
      <w:proofErr w:type="spellStart"/>
      <w:r w:rsidRPr="006C3DE2">
        <w:rPr>
          <w:rFonts w:ascii="Times New Roman" w:hAnsi="Times New Roman" w:cs="Times New Roman"/>
          <w:sz w:val="21"/>
          <w:szCs w:val="21"/>
        </w:rPr>
        <w:t>lASC</w:t>
      </w:r>
      <w:proofErr w:type="spellEnd"/>
      <w:r w:rsidRPr="006C3DE2">
        <w:rPr>
          <w:rFonts w:ascii="Times New Roman" w:hAnsi="Times New Roman" w:cs="Times New Roman"/>
          <w:sz w:val="21"/>
          <w:szCs w:val="21"/>
        </w:rPr>
        <w:t>-Minimum Operation Standards on "Protection from sexual exploitation and abuse by own personnel” and/or the SEA elements of the Core Humanitarian Standard on Quality and Accountability.</w:t>
      </w:r>
    </w:p>
    <w:p w14:paraId="56F98699" w14:textId="77777777" w:rsidR="0069108A" w:rsidRPr="006C3DE2" w:rsidRDefault="0069108A" w:rsidP="006C3DE2">
      <w:pPr>
        <w:numPr>
          <w:ilvl w:val="0"/>
          <w:numId w:val="24"/>
        </w:numPr>
        <w:tabs>
          <w:tab w:val="left" w:pos="1000"/>
        </w:tabs>
        <w:spacing w:line="276" w:lineRule="auto"/>
        <w:ind w:left="980" w:right="141" w:hanging="340"/>
        <w:jc w:val="both"/>
        <w:rPr>
          <w:rFonts w:ascii="Times New Roman" w:hAnsi="Times New Roman" w:cs="Times New Roman"/>
          <w:sz w:val="21"/>
          <w:szCs w:val="21"/>
        </w:rPr>
      </w:pPr>
      <w:r w:rsidRPr="006C3DE2">
        <w:rPr>
          <w:rFonts w:ascii="Times New Roman" w:hAnsi="Times New Roman" w:cs="Times New Roman"/>
          <w:sz w:val="21"/>
          <w:szCs w:val="21"/>
        </w:rPr>
        <w:t>have ethical guidelines that include policies on prevention and response to SEAH,</w:t>
      </w:r>
    </w:p>
    <w:p w14:paraId="3DAD70ED" w14:textId="77777777" w:rsidR="0069108A" w:rsidRPr="006C3DE2" w:rsidRDefault="0069108A" w:rsidP="006C3DE2">
      <w:pPr>
        <w:numPr>
          <w:ilvl w:val="0"/>
          <w:numId w:val="24"/>
        </w:numPr>
        <w:tabs>
          <w:tab w:val="left" w:pos="1000"/>
        </w:tabs>
        <w:spacing w:line="276" w:lineRule="auto"/>
        <w:ind w:left="980" w:right="141" w:hanging="340"/>
        <w:jc w:val="both"/>
        <w:rPr>
          <w:rFonts w:ascii="Times New Roman" w:hAnsi="Times New Roman" w:cs="Times New Roman"/>
          <w:sz w:val="21"/>
          <w:szCs w:val="21"/>
        </w:rPr>
      </w:pPr>
      <w:proofErr w:type="spellStart"/>
      <w:r w:rsidRPr="006C3DE2">
        <w:rPr>
          <w:rFonts w:ascii="Times New Roman" w:hAnsi="Times New Roman" w:cs="Times New Roman"/>
          <w:sz w:val="21"/>
          <w:szCs w:val="21"/>
        </w:rPr>
        <w:t>organise</w:t>
      </w:r>
      <w:proofErr w:type="spellEnd"/>
      <w:r w:rsidRPr="006C3DE2">
        <w:rPr>
          <w:rFonts w:ascii="Times New Roman" w:hAnsi="Times New Roman" w:cs="Times New Roman"/>
          <w:sz w:val="21"/>
          <w:szCs w:val="21"/>
        </w:rPr>
        <w:t xml:space="preserve"> its operations and internal control systems in a way that SEAH is prevented, detected, and responded to,</w:t>
      </w:r>
    </w:p>
    <w:p w14:paraId="41D209AA" w14:textId="77777777" w:rsidR="0069108A" w:rsidRPr="006C3DE2" w:rsidRDefault="0069108A" w:rsidP="006C3DE2">
      <w:pPr>
        <w:numPr>
          <w:ilvl w:val="0"/>
          <w:numId w:val="24"/>
        </w:numPr>
        <w:tabs>
          <w:tab w:val="left" w:pos="1000"/>
        </w:tabs>
        <w:spacing w:after="41" w:line="276" w:lineRule="auto"/>
        <w:ind w:left="980" w:right="141" w:hanging="340"/>
        <w:jc w:val="both"/>
        <w:rPr>
          <w:rFonts w:ascii="Times New Roman" w:hAnsi="Times New Roman" w:cs="Times New Roman"/>
          <w:sz w:val="21"/>
          <w:szCs w:val="21"/>
        </w:rPr>
      </w:pPr>
      <w:r w:rsidRPr="006C3DE2">
        <w:rPr>
          <w:rFonts w:ascii="Times New Roman" w:hAnsi="Times New Roman" w:cs="Times New Roman"/>
          <w:sz w:val="21"/>
          <w:szCs w:val="21"/>
        </w:rPr>
        <w:t>take swift action on suspicions or complaints of SEAH.</w:t>
      </w:r>
    </w:p>
    <w:p w14:paraId="31C9A93B" w14:textId="77777777" w:rsidR="0069108A" w:rsidRPr="006C3DE2" w:rsidRDefault="0069108A" w:rsidP="006C3DE2">
      <w:pPr>
        <w:numPr>
          <w:ilvl w:val="0"/>
          <w:numId w:val="23"/>
        </w:numPr>
        <w:tabs>
          <w:tab w:val="left" w:pos="883"/>
        </w:tabs>
        <w:spacing w:before="240" w:after="188" w:line="276" w:lineRule="auto"/>
        <w:ind w:left="840" w:right="141" w:hanging="520"/>
        <w:jc w:val="both"/>
        <w:rPr>
          <w:rFonts w:ascii="Times New Roman" w:hAnsi="Times New Roman" w:cs="Times New Roman"/>
          <w:sz w:val="21"/>
          <w:szCs w:val="21"/>
        </w:rPr>
      </w:pPr>
      <w:r w:rsidRPr="006C3DE2">
        <w:rPr>
          <w:rFonts w:ascii="Times New Roman" w:hAnsi="Times New Roman" w:cs="Times New Roman"/>
          <w:sz w:val="21"/>
          <w:szCs w:val="21"/>
        </w:rPr>
        <w:t>The Grant Recipient shall inform MFA immediately of any indications of SEAH credible enough to warrant an investigation within or related to the Project as well as indications of SEAH not directly linked to the Project but of significant impact on the partnership with MFA.</w:t>
      </w:r>
    </w:p>
    <w:p w14:paraId="206E1A8C" w14:textId="77777777" w:rsidR="0069108A" w:rsidRPr="006C3DE2" w:rsidRDefault="0069108A" w:rsidP="006C3DE2">
      <w:pPr>
        <w:numPr>
          <w:ilvl w:val="0"/>
          <w:numId w:val="23"/>
        </w:numPr>
        <w:tabs>
          <w:tab w:val="left" w:pos="883"/>
        </w:tabs>
        <w:spacing w:after="172" w:line="276" w:lineRule="auto"/>
        <w:ind w:left="840" w:right="141" w:hanging="520"/>
        <w:jc w:val="both"/>
        <w:rPr>
          <w:rFonts w:ascii="Times New Roman" w:hAnsi="Times New Roman" w:cs="Times New Roman"/>
          <w:sz w:val="21"/>
          <w:szCs w:val="21"/>
        </w:rPr>
      </w:pPr>
      <w:r w:rsidRPr="006C3DE2">
        <w:rPr>
          <w:rFonts w:ascii="Times New Roman" w:hAnsi="Times New Roman" w:cs="Times New Roman"/>
          <w:sz w:val="21"/>
          <w:szCs w:val="21"/>
        </w:rPr>
        <w:t xml:space="preserve">The Grant Recipient shall provide MFA with a report of the relevant facts and an assessment of how the matter will be followed up, including whether the </w:t>
      </w:r>
      <w:proofErr w:type="spellStart"/>
      <w:r w:rsidRPr="006C3DE2">
        <w:rPr>
          <w:rFonts w:ascii="Times New Roman" w:hAnsi="Times New Roman" w:cs="Times New Roman"/>
          <w:sz w:val="21"/>
          <w:szCs w:val="21"/>
        </w:rPr>
        <w:t>organisation</w:t>
      </w:r>
      <w:proofErr w:type="spellEnd"/>
      <w:r w:rsidRPr="006C3DE2">
        <w:rPr>
          <w:rFonts w:ascii="Times New Roman" w:hAnsi="Times New Roman" w:cs="Times New Roman"/>
          <w:sz w:val="21"/>
          <w:szCs w:val="21"/>
        </w:rPr>
        <w:t xml:space="preserve"> will improve internal systems to prevent, detect and respond to SEAH, and whether criminal prosecution or other sanctions are considered appropriate, considering the rights, needs and wishes of the survivor/victim. The reporting will be made without compromising the safety, security, privacy, and due process rights of any concerned person. The report will be handled by MFA in accordance with MFA’s guidelines for handling notifications of sexual abuse, sexual exploitation, and sexual harassment by grant recipients.</w:t>
      </w:r>
    </w:p>
    <w:p w14:paraId="3AFD25BB" w14:textId="77777777" w:rsidR="0069108A" w:rsidRPr="006C3DE2" w:rsidRDefault="0069108A" w:rsidP="006C3DE2">
      <w:pPr>
        <w:numPr>
          <w:ilvl w:val="0"/>
          <w:numId w:val="23"/>
        </w:numPr>
        <w:tabs>
          <w:tab w:val="left" w:pos="883"/>
        </w:tabs>
        <w:spacing w:after="343" w:line="276" w:lineRule="auto"/>
        <w:ind w:left="840" w:right="141" w:hanging="520"/>
        <w:jc w:val="both"/>
        <w:rPr>
          <w:rFonts w:ascii="Times New Roman" w:hAnsi="Times New Roman" w:cs="Times New Roman"/>
          <w:sz w:val="21"/>
          <w:szCs w:val="21"/>
        </w:rPr>
      </w:pPr>
      <w:r w:rsidRPr="006C3DE2">
        <w:rPr>
          <w:rFonts w:ascii="Times New Roman" w:hAnsi="Times New Roman" w:cs="Times New Roman"/>
          <w:sz w:val="21"/>
          <w:szCs w:val="21"/>
        </w:rPr>
        <w:t>Upon request from MFA, the Grant Recipient shall grant the MFA access to all relevant information and documentation related to the Grant Recipient's adherence with this article.</w:t>
      </w:r>
    </w:p>
    <w:p w14:paraId="1C9D4B9B" w14:textId="4D4D6AD4" w:rsidR="0069108A" w:rsidRPr="006C3DE2" w:rsidRDefault="0069108A" w:rsidP="006C3DE2">
      <w:pPr>
        <w:pStyle w:val="Textodocorpo30"/>
        <w:numPr>
          <w:ilvl w:val="0"/>
          <w:numId w:val="11"/>
        </w:numPr>
        <w:shd w:val="clear" w:color="auto" w:fill="auto"/>
        <w:tabs>
          <w:tab w:val="left" w:pos="712"/>
        </w:tabs>
        <w:spacing w:before="240" w:after="0" w:line="276" w:lineRule="auto"/>
        <w:ind w:left="860" w:right="141" w:hanging="540"/>
        <w:jc w:val="both"/>
        <w:rPr>
          <w:color w:val="000000"/>
          <w:lang w:bidi="en-US"/>
        </w:rPr>
      </w:pPr>
      <w:bookmarkStart w:id="14" w:name="bookmark13"/>
      <w:r w:rsidRPr="006C3DE2">
        <w:rPr>
          <w:color w:val="000000"/>
          <w:lang w:bidi="en-US"/>
        </w:rPr>
        <w:t>CONFLICT OF INTEREST</w:t>
      </w:r>
      <w:bookmarkEnd w:id="14"/>
    </w:p>
    <w:p w14:paraId="596A3686" w14:textId="77777777" w:rsidR="0069108A" w:rsidRPr="006C3DE2" w:rsidRDefault="0069108A" w:rsidP="006C3DE2">
      <w:pPr>
        <w:numPr>
          <w:ilvl w:val="0"/>
          <w:numId w:val="25"/>
        </w:numPr>
        <w:tabs>
          <w:tab w:val="left" w:pos="883"/>
        </w:tabs>
        <w:spacing w:before="240" w:after="180" w:line="276" w:lineRule="auto"/>
        <w:ind w:left="840" w:right="141" w:hanging="520"/>
        <w:jc w:val="both"/>
        <w:rPr>
          <w:rFonts w:ascii="Times New Roman" w:hAnsi="Times New Roman" w:cs="Times New Roman"/>
          <w:sz w:val="21"/>
          <w:szCs w:val="21"/>
        </w:rPr>
      </w:pPr>
      <w:r w:rsidRPr="006C3DE2">
        <w:rPr>
          <w:rFonts w:ascii="Times New Roman" w:hAnsi="Times New Roman" w:cs="Times New Roman"/>
          <w:sz w:val="21"/>
          <w:szCs w:val="21"/>
        </w:rPr>
        <w:t>The Grant Recipient shall take all necessary precautions to avoid any conflicts of interest in all matters related to the Project.</w:t>
      </w:r>
    </w:p>
    <w:p w14:paraId="5ABA9BE1" w14:textId="77777777" w:rsidR="0069108A" w:rsidRPr="006C3DE2" w:rsidRDefault="0069108A" w:rsidP="006C3DE2">
      <w:pPr>
        <w:numPr>
          <w:ilvl w:val="0"/>
          <w:numId w:val="25"/>
        </w:numPr>
        <w:tabs>
          <w:tab w:val="left" w:pos="883"/>
        </w:tabs>
        <w:spacing w:after="180" w:line="276" w:lineRule="auto"/>
        <w:ind w:left="840" w:right="141" w:hanging="520"/>
        <w:jc w:val="both"/>
        <w:rPr>
          <w:rFonts w:ascii="Times New Roman" w:hAnsi="Times New Roman" w:cs="Times New Roman"/>
          <w:sz w:val="21"/>
          <w:szCs w:val="21"/>
        </w:rPr>
      </w:pPr>
      <w:r w:rsidRPr="006C3DE2">
        <w:rPr>
          <w:rFonts w:ascii="Times New Roman" w:hAnsi="Times New Roman" w:cs="Times New Roman"/>
          <w:sz w:val="21"/>
          <w:szCs w:val="21"/>
        </w:rPr>
        <w:t>Conflict of interest refers to any situation where the impartial and objective exercise of the functions of anyone acting on behalf of the Grant Recipient is, or may be, compromised for reasons involving family, personal life, political or national affinity, economic interest or any other connection or shared interest with another person.</w:t>
      </w:r>
    </w:p>
    <w:p w14:paraId="43FAE17A" w14:textId="77777777" w:rsidR="0069108A" w:rsidRPr="006C3DE2" w:rsidRDefault="0069108A" w:rsidP="006C3DE2">
      <w:pPr>
        <w:numPr>
          <w:ilvl w:val="0"/>
          <w:numId w:val="25"/>
        </w:numPr>
        <w:spacing w:after="180" w:line="276" w:lineRule="auto"/>
        <w:ind w:left="840" w:right="141" w:hanging="520"/>
        <w:jc w:val="both"/>
        <w:rPr>
          <w:rFonts w:ascii="Times New Roman" w:hAnsi="Times New Roman" w:cs="Times New Roman"/>
          <w:sz w:val="21"/>
          <w:szCs w:val="21"/>
        </w:rPr>
      </w:pPr>
      <w:r w:rsidRPr="006C3DE2">
        <w:rPr>
          <w:rFonts w:ascii="Times New Roman" w:hAnsi="Times New Roman" w:cs="Times New Roman"/>
          <w:sz w:val="21"/>
          <w:szCs w:val="21"/>
        </w:rPr>
        <w:t xml:space="preserve"> If a conflict of interest occurs, the Grant Recipient shall, without delay, take all necessary measures to resolve the conflict, e.g. by replacing the person in question or by obtaining independent verification of the terms of the proposed decision or transaction.</w:t>
      </w:r>
    </w:p>
    <w:p w14:paraId="0AA8DDE4" w14:textId="77777777" w:rsidR="0069108A" w:rsidRPr="006C3DE2" w:rsidRDefault="0069108A" w:rsidP="006C3DE2">
      <w:pPr>
        <w:numPr>
          <w:ilvl w:val="0"/>
          <w:numId w:val="25"/>
        </w:numPr>
        <w:tabs>
          <w:tab w:val="left" w:pos="883"/>
        </w:tabs>
        <w:spacing w:after="336" w:line="276" w:lineRule="auto"/>
        <w:ind w:left="840" w:right="141" w:hanging="520"/>
        <w:jc w:val="both"/>
        <w:rPr>
          <w:rFonts w:ascii="Times New Roman" w:hAnsi="Times New Roman" w:cs="Times New Roman"/>
          <w:sz w:val="21"/>
          <w:szCs w:val="21"/>
        </w:rPr>
      </w:pPr>
      <w:r w:rsidRPr="006C3DE2">
        <w:rPr>
          <w:rFonts w:ascii="Times New Roman" w:hAnsi="Times New Roman" w:cs="Times New Roman"/>
          <w:sz w:val="21"/>
          <w:szCs w:val="21"/>
        </w:rPr>
        <w:t>If the conflict of interest cannot be resolved and/or if it relates to a decision or transaction of special significance to the Project, the decision or transaction may not be concluded without the prior, written approval of MFA.</w:t>
      </w:r>
    </w:p>
    <w:p w14:paraId="0B551BC5" w14:textId="6FA4BE88" w:rsidR="0069108A" w:rsidRPr="006C3DE2" w:rsidRDefault="0069108A" w:rsidP="006C3DE2">
      <w:pPr>
        <w:pStyle w:val="Textodocorpo30"/>
        <w:numPr>
          <w:ilvl w:val="0"/>
          <w:numId w:val="11"/>
        </w:numPr>
        <w:shd w:val="clear" w:color="auto" w:fill="auto"/>
        <w:tabs>
          <w:tab w:val="left" w:pos="712"/>
        </w:tabs>
        <w:spacing w:before="240" w:after="0" w:line="276" w:lineRule="auto"/>
        <w:ind w:left="860" w:right="141" w:hanging="540"/>
        <w:jc w:val="both"/>
        <w:rPr>
          <w:color w:val="000000"/>
          <w:lang w:bidi="en-US"/>
        </w:rPr>
      </w:pPr>
      <w:bookmarkStart w:id="15" w:name="bookmark14"/>
      <w:r w:rsidRPr="006C3DE2">
        <w:rPr>
          <w:color w:val="000000"/>
          <w:lang w:bidi="en-US"/>
        </w:rPr>
        <w:t>BREACH OF THE AGREEMENT</w:t>
      </w:r>
      <w:bookmarkEnd w:id="15"/>
    </w:p>
    <w:p w14:paraId="5B1700EC" w14:textId="77777777" w:rsidR="0069108A" w:rsidRPr="006C3DE2" w:rsidRDefault="0069108A" w:rsidP="006C3DE2">
      <w:pPr>
        <w:numPr>
          <w:ilvl w:val="0"/>
          <w:numId w:val="15"/>
        </w:numPr>
        <w:tabs>
          <w:tab w:val="left" w:pos="883"/>
        </w:tabs>
        <w:spacing w:before="240" w:after="184" w:line="276" w:lineRule="auto"/>
        <w:ind w:left="840" w:right="141" w:hanging="520"/>
        <w:jc w:val="both"/>
        <w:rPr>
          <w:rFonts w:ascii="Times New Roman" w:hAnsi="Times New Roman" w:cs="Times New Roman"/>
          <w:sz w:val="21"/>
          <w:szCs w:val="21"/>
        </w:rPr>
      </w:pPr>
      <w:r w:rsidRPr="006C3DE2">
        <w:rPr>
          <w:rFonts w:ascii="Times New Roman" w:hAnsi="Times New Roman" w:cs="Times New Roman"/>
          <w:sz w:val="21"/>
          <w:szCs w:val="21"/>
        </w:rPr>
        <w:t>If the Grant Recipient fails to fulfil its obligations under this Agreement and/or if there is suspicion of financial irregularities. MFA may suspend disbursement of all or part of the Grant.</w:t>
      </w:r>
    </w:p>
    <w:p w14:paraId="6A2E2049" w14:textId="45AD1461" w:rsidR="0069108A" w:rsidRPr="006C3DE2" w:rsidRDefault="0069108A" w:rsidP="006C3DE2">
      <w:pPr>
        <w:numPr>
          <w:ilvl w:val="0"/>
          <w:numId w:val="15"/>
        </w:numPr>
        <w:tabs>
          <w:tab w:val="left" w:pos="883"/>
        </w:tabs>
        <w:spacing w:line="276" w:lineRule="auto"/>
        <w:ind w:left="840" w:right="141" w:hanging="520"/>
        <w:jc w:val="both"/>
        <w:rPr>
          <w:rFonts w:ascii="Times New Roman" w:hAnsi="Times New Roman" w:cs="Times New Roman"/>
          <w:sz w:val="21"/>
          <w:szCs w:val="21"/>
        </w:rPr>
      </w:pPr>
      <w:r w:rsidRPr="006C3DE2">
        <w:rPr>
          <w:rFonts w:ascii="Times New Roman" w:hAnsi="Times New Roman" w:cs="Times New Roman"/>
          <w:sz w:val="21"/>
          <w:szCs w:val="21"/>
        </w:rPr>
        <w:t>In the event of material breach of the Agreement, MFA may terminate the Agreement with immediate effect, and/or claim repayment of all or parts of the Grant. A repayment claim may also include interest and any other financial gain obtained by the Grant Recipient as a result of the financial irregularity.</w:t>
      </w:r>
    </w:p>
    <w:p w14:paraId="2D23970E" w14:textId="77777777" w:rsidR="0069108A" w:rsidRPr="006C3DE2" w:rsidRDefault="0069108A" w:rsidP="006C3DE2">
      <w:pPr>
        <w:numPr>
          <w:ilvl w:val="0"/>
          <w:numId w:val="15"/>
        </w:numPr>
        <w:tabs>
          <w:tab w:val="left" w:pos="848"/>
        </w:tabs>
        <w:spacing w:before="240" w:after="229" w:line="276" w:lineRule="auto"/>
        <w:ind w:left="800" w:right="141" w:hanging="540"/>
        <w:jc w:val="both"/>
        <w:rPr>
          <w:rFonts w:ascii="Times New Roman" w:hAnsi="Times New Roman" w:cs="Times New Roman"/>
          <w:sz w:val="21"/>
          <w:szCs w:val="21"/>
        </w:rPr>
      </w:pPr>
      <w:r w:rsidRPr="006C3DE2">
        <w:rPr>
          <w:rFonts w:ascii="Times New Roman" w:hAnsi="Times New Roman" w:cs="Times New Roman"/>
          <w:sz w:val="21"/>
          <w:szCs w:val="21"/>
        </w:rPr>
        <w:t>Material breach of the Agreement shall include, without limitation, the following situations:</w:t>
      </w:r>
    </w:p>
    <w:p w14:paraId="4966BA98"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rFonts w:ascii="Times New Roman" w:hAnsi="Times New Roman" w:cs="Times New Roman"/>
          <w:sz w:val="21"/>
          <w:szCs w:val="21"/>
        </w:rPr>
        <w:t>all or part of the Grant has not been used in accordance with the Agreement and/or approved work plans and budget,</w:t>
      </w:r>
    </w:p>
    <w:p w14:paraId="05113024"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rFonts w:ascii="Times New Roman" w:hAnsi="Times New Roman" w:cs="Times New Roman"/>
          <w:sz w:val="21"/>
          <w:szCs w:val="21"/>
        </w:rPr>
        <w:t>the Grant Recipient has made false or incomplete statements to obtain the Grant,</w:t>
      </w:r>
    </w:p>
    <w:p w14:paraId="7F707D29"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rFonts w:ascii="Times New Roman" w:hAnsi="Times New Roman" w:cs="Times New Roman"/>
          <w:sz w:val="21"/>
          <w:szCs w:val="21"/>
        </w:rPr>
        <w:t>the use of the Grant has not been satisfactorily accounted for,</w:t>
      </w:r>
    </w:p>
    <w:p w14:paraId="197E94EB"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rFonts w:ascii="Times New Roman" w:hAnsi="Times New Roman" w:cs="Times New Roman"/>
          <w:sz w:val="21"/>
          <w:szCs w:val="21"/>
        </w:rPr>
        <w:t>the Grant Recipient has, after having been granted an extended deadline, failed to provide the agreed reports, or has knowingly provided reports that do not reflect reality,</w:t>
      </w:r>
    </w:p>
    <w:p w14:paraId="2823BB23"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rFonts w:ascii="Times New Roman" w:hAnsi="Times New Roman" w:cs="Times New Roman"/>
          <w:sz w:val="21"/>
          <w:szCs w:val="21"/>
        </w:rPr>
        <w:t>the Grant Recipient has failed to take preventive measures against sexual exploitation, sexual abuse, or sexual harassment, to detect or respond to indications thereof, or to take corrective action when sexual exploitation, sexual abuse or sexual harassment has occurred, in accordance with article 16 of the General Conditions,</w:t>
      </w:r>
    </w:p>
    <w:p w14:paraId="7DCEF74A"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rFonts w:ascii="Times New Roman" w:hAnsi="Times New Roman" w:cs="Times New Roman"/>
          <w:sz w:val="21"/>
          <w:szCs w:val="21"/>
        </w:rPr>
        <w:t>financial irregularities, grave professional misconduct, or illegal activity of any form have taken place within the Grant Recipient or its cooperating partners,</w:t>
      </w:r>
    </w:p>
    <w:p w14:paraId="07F1E053"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rFonts w:ascii="Times New Roman" w:hAnsi="Times New Roman" w:cs="Times New Roman"/>
          <w:sz w:val="21"/>
          <w:szCs w:val="21"/>
        </w:rPr>
        <w:t>the Grant Recipient has failed to inform MFA of indication of financial irregularities within the Project in accordance with article 15 of the General Conditions,</w:t>
      </w:r>
    </w:p>
    <w:p w14:paraId="65378F2A"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rFonts w:ascii="Times New Roman" w:hAnsi="Times New Roman" w:cs="Times New Roman"/>
          <w:sz w:val="21"/>
          <w:szCs w:val="21"/>
        </w:rPr>
        <w:t>the Grant Recipient has changed legal personality without prior notification to MFA,</w:t>
      </w:r>
    </w:p>
    <w:p w14:paraId="1F7C353F" w14:textId="77777777" w:rsidR="0069108A" w:rsidRPr="006C3DE2" w:rsidRDefault="0069108A" w:rsidP="006C3DE2">
      <w:pPr>
        <w:numPr>
          <w:ilvl w:val="0"/>
          <w:numId w:val="16"/>
        </w:numPr>
        <w:spacing w:after="49" w:line="276" w:lineRule="auto"/>
        <w:ind w:left="900" w:right="141" w:hanging="340"/>
        <w:jc w:val="both"/>
        <w:rPr>
          <w:rFonts w:ascii="Times New Roman" w:hAnsi="Times New Roman" w:cs="Times New Roman"/>
          <w:sz w:val="21"/>
          <w:szCs w:val="21"/>
        </w:rPr>
      </w:pPr>
      <w:r w:rsidRPr="006C3DE2">
        <w:rPr>
          <w:rFonts w:ascii="Times New Roman" w:hAnsi="Times New Roman" w:cs="Times New Roman"/>
          <w:sz w:val="21"/>
          <w:szCs w:val="21"/>
        </w:rPr>
        <w:t>the Grant Recipient is bankrupt, being wound up or is having its affairs administered by the courts, or is subject to any analogous or corresponding procedure provided for under national legislation.</w:t>
      </w:r>
    </w:p>
    <w:p w14:paraId="7B137671" w14:textId="77777777" w:rsidR="0069108A" w:rsidRPr="006C3DE2" w:rsidRDefault="0069108A" w:rsidP="006C3DE2">
      <w:pPr>
        <w:numPr>
          <w:ilvl w:val="0"/>
          <w:numId w:val="15"/>
        </w:numPr>
        <w:tabs>
          <w:tab w:val="left" w:pos="848"/>
        </w:tabs>
        <w:spacing w:before="240" w:after="188" w:line="276" w:lineRule="auto"/>
        <w:ind w:left="800" w:right="141" w:hanging="540"/>
        <w:jc w:val="both"/>
        <w:rPr>
          <w:rFonts w:ascii="Times New Roman" w:hAnsi="Times New Roman" w:cs="Times New Roman"/>
          <w:sz w:val="21"/>
          <w:szCs w:val="21"/>
        </w:rPr>
      </w:pPr>
      <w:r w:rsidRPr="006C3DE2">
        <w:rPr>
          <w:rFonts w:ascii="Times New Roman" w:hAnsi="Times New Roman" w:cs="Times New Roman"/>
          <w:sz w:val="21"/>
          <w:szCs w:val="21"/>
        </w:rPr>
        <w:t xml:space="preserve">The Grant Recipient shall inform MFA immediately of any circumstances that may indicate or lead to a breach of Agreement, and shall provide MFA w </w:t>
      </w:r>
      <w:proofErr w:type="spellStart"/>
      <w:r w:rsidRPr="006C3DE2">
        <w:rPr>
          <w:rFonts w:ascii="Times New Roman" w:hAnsi="Times New Roman" w:cs="Times New Roman"/>
          <w:sz w:val="21"/>
          <w:szCs w:val="21"/>
        </w:rPr>
        <w:t>ith</w:t>
      </w:r>
      <w:proofErr w:type="spellEnd"/>
      <w:r w:rsidRPr="006C3DE2">
        <w:rPr>
          <w:rFonts w:ascii="Times New Roman" w:hAnsi="Times New Roman" w:cs="Times New Roman"/>
          <w:sz w:val="21"/>
          <w:szCs w:val="21"/>
        </w:rPr>
        <w:t xml:space="preserve"> any information or documentation it may reasonably require in order to determine if a breach of the Agreement has occurred.</w:t>
      </w:r>
    </w:p>
    <w:p w14:paraId="1BF39E17" w14:textId="77434937" w:rsidR="0069108A" w:rsidRPr="006C3DE2" w:rsidRDefault="0069108A" w:rsidP="006C3DE2">
      <w:pPr>
        <w:numPr>
          <w:ilvl w:val="0"/>
          <w:numId w:val="15"/>
        </w:numPr>
        <w:tabs>
          <w:tab w:val="left" w:pos="848"/>
        </w:tabs>
        <w:spacing w:line="276" w:lineRule="auto"/>
        <w:ind w:left="800" w:right="141" w:hanging="540"/>
        <w:jc w:val="both"/>
        <w:rPr>
          <w:rFonts w:ascii="Times New Roman" w:hAnsi="Times New Roman" w:cs="Times New Roman"/>
          <w:sz w:val="21"/>
          <w:szCs w:val="21"/>
        </w:rPr>
      </w:pPr>
      <w:r w:rsidRPr="006C3DE2">
        <w:rPr>
          <w:rFonts w:ascii="Times New Roman" w:hAnsi="Times New Roman" w:cs="Times New Roman"/>
          <w:sz w:val="21"/>
          <w:szCs w:val="21"/>
        </w:rPr>
        <w:t>MFA may also suspend disbursements or terminate the Agreement with immediate effect if a material breach of another agreement between MFA and the Grant Recipient has been established.</w:t>
      </w:r>
    </w:p>
    <w:p w14:paraId="6072EC9E" w14:textId="77777777" w:rsidR="00B00A3D" w:rsidRPr="006C3DE2" w:rsidRDefault="00B00A3D" w:rsidP="006C3DE2">
      <w:pPr>
        <w:pStyle w:val="Ttulo60"/>
        <w:numPr>
          <w:ilvl w:val="0"/>
          <w:numId w:val="17"/>
        </w:numPr>
        <w:shd w:val="clear" w:color="auto" w:fill="auto"/>
        <w:tabs>
          <w:tab w:val="left" w:pos="658"/>
        </w:tabs>
        <w:spacing w:before="360" w:after="248" w:line="276" w:lineRule="auto"/>
        <w:ind w:left="800" w:right="141" w:hanging="540"/>
      </w:pPr>
      <w:r w:rsidRPr="006C3DE2">
        <w:rPr>
          <w:color w:val="000000"/>
          <w:lang w:bidi="en-US"/>
        </w:rPr>
        <w:t>TERMINATION OF THE AGREEMENT</w:t>
      </w:r>
      <w:bookmarkEnd w:id="13"/>
    </w:p>
    <w:p w14:paraId="33EC4AA8" w14:textId="77777777" w:rsidR="00B00A3D" w:rsidRPr="006C3DE2" w:rsidRDefault="00B00A3D" w:rsidP="006C3DE2">
      <w:pPr>
        <w:numPr>
          <w:ilvl w:val="1"/>
          <w:numId w:val="17"/>
        </w:numPr>
        <w:spacing w:before="240" w:after="209" w:line="276" w:lineRule="auto"/>
        <w:ind w:left="800" w:right="141" w:hanging="540"/>
        <w:jc w:val="both"/>
        <w:rPr>
          <w:rFonts w:ascii="Times New Roman" w:hAnsi="Times New Roman" w:cs="Times New Roman"/>
          <w:sz w:val="21"/>
          <w:szCs w:val="21"/>
        </w:rPr>
      </w:pPr>
      <w:r w:rsidRPr="006C3DE2">
        <w:rPr>
          <w:rFonts w:ascii="Times New Roman" w:hAnsi="Times New Roman" w:cs="Times New Roman"/>
          <w:sz w:val="21"/>
          <w:szCs w:val="21"/>
        </w:rPr>
        <w:t>Each of the Parties may terminate the Agreement upon a written notice.</w:t>
      </w:r>
    </w:p>
    <w:p w14:paraId="0AF8E008" w14:textId="77777777" w:rsidR="00B00A3D" w:rsidRPr="006C3DE2" w:rsidRDefault="00B00A3D" w:rsidP="006C3DE2">
      <w:pPr>
        <w:numPr>
          <w:ilvl w:val="1"/>
          <w:numId w:val="17"/>
        </w:numPr>
        <w:spacing w:after="180" w:line="276" w:lineRule="auto"/>
        <w:ind w:left="800" w:right="141" w:hanging="540"/>
        <w:jc w:val="both"/>
        <w:rPr>
          <w:rFonts w:ascii="Times New Roman" w:hAnsi="Times New Roman" w:cs="Times New Roman"/>
          <w:sz w:val="21"/>
          <w:szCs w:val="21"/>
        </w:rPr>
      </w:pPr>
      <w:r w:rsidRPr="006C3DE2">
        <w:rPr>
          <w:rFonts w:ascii="Times New Roman" w:hAnsi="Times New Roman" w:cs="Times New Roman"/>
          <w:sz w:val="21"/>
          <w:szCs w:val="21"/>
        </w:rPr>
        <w:t>The Support Period shall end three months after the date of the notice of termination. During these three months, the Grant Recipient may only use the Grant to cover commitments that have been established before the date of the notice of termination.</w:t>
      </w:r>
    </w:p>
    <w:p w14:paraId="08B753F3" w14:textId="77777777" w:rsidR="00B00A3D" w:rsidRPr="006C3DE2" w:rsidRDefault="00B00A3D" w:rsidP="006C3DE2">
      <w:pPr>
        <w:numPr>
          <w:ilvl w:val="1"/>
          <w:numId w:val="17"/>
        </w:numPr>
        <w:spacing w:after="184" w:line="276" w:lineRule="auto"/>
        <w:ind w:left="800" w:right="141" w:hanging="540"/>
        <w:jc w:val="both"/>
        <w:rPr>
          <w:rFonts w:ascii="Times New Roman" w:hAnsi="Times New Roman" w:cs="Times New Roman"/>
          <w:sz w:val="21"/>
          <w:szCs w:val="21"/>
        </w:rPr>
      </w:pPr>
      <w:r w:rsidRPr="006C3DE2">
        <w:rPr>
          <w:rFonts w:ascii="Times New Roman" w:hAnsi="Times New Roman" w:cs="Times New Roman"/>
          <w:sz w:val="21"/>
          <w:szCs w:val="21"/>
        </w:rPr>
        <w:t>If the Project cannot continue without the Grant, the Grant Recipient shall use these three months to discontinue or scale down the Project promptly and in an orderly and financially sound manner,</w:t>
      </w:r>
    </w:p>
    <w:p w14:paraId="7C1C37DD" w14:textId="52D8173A" w:rsidR="00B00A3D" w:rsidRPr="006C3DE2" w:rsidRDefault="00B00A3D" w:rsidP="006C3DE2">
      <w:pPr>
        <w:numPr>
          <w:ilvl w:val="1"/>
          <w:numId w:val="17"/>
        </w:numPr>
        <w:spacing w:after="172" w:line="276" w:lineRule="auto"/>
        <w:ind w:left="800" w:right="141" w:hanging="540"/>
        <w:jc w:val="both"/>
        <w:rPr>
          <w:rFonts w:ascii="Times New Roman" w:hAnsi="Times New Roman" w:cs="Times New Roman"/>
          <w:sz w:val="21"/>
          <w:szCs w:val="21"/>
        </w:rPr>
      </w:pPr>
      <w:r w:rsidRPr="006C3DE2">
        <w:rPr>
          <w:rFonts w:ascii="Times New Roman" w:hAnsi="Times New Roman" w:cs="Times New Roman"/>
          <w:sz w:val="21"/>
          <w:szCs w:val="21"/>
        </w:rPr>
        <w:t>The Grant Recipient shall submit a final report to MFA within three months of the end of the Support Period. The final report shall meet the requirements set out in article 4 of the General Conditions and shall also include a financial report and audit report covering the period from the previous financial report until the end of the Support Period,</w:t>
      </w:r>
    </w:p>
    <w:p w14:paraId="61980807" w14:textId="77777777" w:rsidR="00B00A3D" w:rsidRPr="006C3DE2" w:rsidRDefault="00B00A3D" w:rsidP="006C3DE2">
      <w:pPr>
        <w:numPr>
          <w:ilvl w:val="1"/>
          <w:numId w:val="17"/>
        </w:numPr>
        <w:spacing w:line="276" w:lineRule="auto"/>
        <w:ind w:left="800" w:right="141" w:hanging="540"/>
        <w:jc w:val="both"/>
        <w:rPr>
          <w:rFonts w:ascii="Times New Roman" w:hAnsi="Times New Roman" w:cs="Times New Roman"/>
          <w:sz w:val="21"/>
          <w:szCs w:val="21"/>
        </w:rPr>
      </w:pPr>
      <w:r w:rsidRPr="006C3DE2">
        <w:rPr>
          <w:rFonts w:ascii="Times New Roman" w:hAnsi="Times New Roman" w:cs="Times New Roman"/>
          <w:sz w:val="21"/>
          <w:szCs w:val="21"/>
        </w:rPr>
        <w:t>The Agreement will be considered terminated when the final report has been approved by MFA and any remaining funds have been repaid.</w:t>
      </w:r>
    </w:p>
    <w:p w14:paraId="2078E05E" w14:textId="77777777" w:rsidR="00B00A3D" w:rsidRPr="006C3DE2" w:rsidRDefault="00B00A3D" w:rsidP="006C3DE2">
      <w:pPr>
        <w:pStyle w:val="Ttulo60"/>
        <w:numPr>
          <w:ilvl w:val="0"/>
          <w:numId w:val="17"/>
        </w:numPr>
        <w:shd w:val="clear" w:color="auto" w:fill="auto"/>
        <w:tabs>
          <w:tab w:val="left" w:pos="658"/>
        </w:tabs>
        <w:spacing w:before="360" w:after="248" w:line="276" w:lineRule="auto"/>
        <w:ind w:left="800" w:right="141" w:hanging="540"/>
        <w:rPr>
          <w:color w:val="000000"/>
          <w:lang w:bidi="en-US"/>
        </w:rPr>
      </w:pPr>
      <w:bookmarkStart w:id="16" w:name="bookmark16"/>
      <w:r w:rsidRPr="006C3DE2">
        <w:rPr>
          <w:color w:val="000000"/>
          <w:lang w:bidi="en-US"/>
        </w:rPr>
        <w:t>WAIVER AND IMMUNITIES</w:t>
      </w:r>
      <w:bookmarkEnd w:id="16"/>
    </w:p>
    <w:p w14:paraId="478CF2AD" w14:textId="0571F1F0" w:rsidR="00B00A3D" w:rsidRPr="006C3DE2" w:rsidRDefault="00B00A3D" w:rsidP="006C3DE2">
      <w:pPr>
        <w:numPr>
          <w:ilvl w:val="1"/>
          <w:numId w:val="17"/>
        </w:numPr>
        <w:tabs>
          <w:tab w:val="left" w:pos="848"/>
        </w:tabs>
        <w:spacing w:before="360"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Nothing in the Agreement or any document related to the Agreement or MFA’s acceptance of other countries' jurisdiction in disputes arising from this Agreement shall imply that MFA, the Government of Norway or any of their employees are deemed to have, expressly or implicitly waived any privileges or immunities they may have. This article 20 will not prevent arbitration</w:t>
      </w:r>
      <w:r w:rsidR="0069108A" w:rsidRPr="006C3DE2">
        <w:rPr>
          <w:rFonts w:ascii="Times New Roman" w:hAnsi="Times New Roman" w:cs="Times New Roman"/>
          <w:sz w:val="21"/>
          <w:szCs w:val="21"/>
        </w:rPr>
        <w:t xml:space="preserve"> </w:t>
      </w:r>
      <w:r w:rsidRPr="006C3DE2">
        <w:rPr>
          <w:rFonts w:ascii="Times New Roman" w:hAnsi="Times New Roman" w:cs="Times New Roman"/>
          <w:sz w:val="21"/>
          <w:szCs w:val="21"/>
        </w:rPr>
        <w:t>or court proceedings in the legal venue of the Grant Recipient pursuant to article 25 of the General Conditions.</w:t>
      </w:r>
    </w:p>
    <w:p w14:paraId="0546A4C7" w14:textId="77777777" w:rsidR="00B00A3D" w:rsidRPr="006C3DE2" w:rsidRDefault="00B00A3D" w:rsidP="006C3DE2">
      <w:pPr>
        <w:pStyle w:val="Ttulo60"/>
        <w:numPr>
          <w:ilvl w:val="0"/>
          <w:numId w:val="17"/>
        </w:numPr>
        <w:shd w:val="clear" w:color="auto" w:fill="auto"/>
        <w:tabs>
          <w:tab w:val="left" w:pos="658"/>
        </w:tabs>
        <w:spacing w:before="360" w:after="248" w:line="276" w:lineRule="auto"/>
        <w:ind w:left="800" w:right="141" w:hanging="540"/>
        <w:rPr>
          <w:color w:val="000000"/>
          <w:lang w:bidi="en-US"/>
        </w:rPr>
      </w:pPr>
      <w:bookmarkStart w:id="17" w:name="bookmark17"/>
      <w:r w:rsidRPr="006C3DE2">
        <w:rPr>
          <w:color w:val="000000"/>
          <w:lang w:bidi="en-US"/>
        </w:rPr>
        <w:t>LIABILITY</w:t>
      </w:r>
      <w:bookmarkEnd w:id="17"/>
    </w:p>
    <w:p w14:paraId="3CD6DAB4" w14:textId="77777777" w:rsidR="006C3DE2"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MFA shall not under any circumstances or for any reason be held liable for damage, injury or loss of income sustained by the Grant Recipient or its agencies, staff or property as a direct or indirect consequence of the Project or services provided thereunder. MFA will not accept any claim for compensation or increases in payment in connection with such damage, injury or loss of income.</w:t>
      </w:r>
    </w:p>
    <w:p w14:paraId="705B7271" w14:textId="7F24AB91"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The Grant Recipient shall assume sole liability towards third parties, including liability for damage, injury or loss of income of any kind sustained by them as a direct or indirect consequence of the Project. The Grant Recipient shall indemnify MFA against any claim or action from the Grant Recipient’s staff or third parties in relation to the Project.</w:t>
      </w:r>
    </w:p>
    <w:p w14:paraId="7F425ECC" w14:textId="77777777" w:rsidR="00B00A3D" w:rsidRPr="006C3DE2" w:rsidRDefault="00B00A3D" w:rsidP="006C3DE2">
      <w:pPr>
        <w:pStyle w:val="Ttulo60"/>
        <w:numPr>
          <w:ilvl w:val="0"/>
          <w:numId w:val="17"/>
        </w:numPr>
        <w:shd w:val="clear" w:color="auto" w:fill="auto"/>
        <w:tabs>
          <w:tab w:val="left" w:pos="658"/>
        </w:tabs>
        <w:spacing w:before="240" w:after="248" w:line="276" w:lineRule="auto"/>
        <w:ind w:left="800" w:right="141" w:hanging="540"/>
        <w:rPr>
          <w:color w:val="000000"/>
          <w:lang w:bidi="en-US"/>
        </w:rPr>
      </w:pPr>
      <w:bookmarkStart w:id="18" w:name="bookmark18"/>
      <w:r w:rsidRPr="006C3DE2">
        <w:rPr>
          <w:color w:val="000000"/>
          <w:lang w:bidi="en-US"/>
        </w:rPr>
        <w:t>ASSIGNMENT</w:t>
      </w:r>
      <w:bookmarkEnd w:id="18"/>
    </w:p>
    <w:p w14:paraId="303BB1B8"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The Agreement and/or the Grant may not be assigned to a third party without the prior written consent of MFA. This shall not, however, prevent transfer of parts of the Grant to a cooperating partner in accordance with article 11 of the General Conditions.</w:t>
      </w:r>
    </w:p>
    <w:p w14:paraId="7D1DB230" w14:textId="77777777" w:rsidR="00B00A3D" w:rsidRPr="006C3DE2" w:rsidRDefault="00B00A3D" w:rsidP="006C3DE2">
      <w:pPr>
        <w:pStyle w:val="Ttulo60"/>
        <w:numPr>
          <w:ilvl w:val="0"/>
          <w:numId w:val="17"/>
        </w:numPr>
        <w:shd w:val="clear" w:color="auto" w:fill="auto"/>
        <w:tabs>
          <w:tab w:val="left" w:pos="658"/>
        </w:tabs>
        <w:spacing w:before="240" w:after="248" w:line="276" w:lineRule="auto"/>
        <w:ind w:left="800" w:right="141" w:hanging="540"/>
        <w:rPr>
          <w:color w:val="000000"/>
          <w:lang w:bidi="en-US"/>
        </w:rPr>
      </w:pPr>
      <w:bookmarkStart w:id="19" w:name="bookmark19"/>
      <w:r w:rsidRPr="006C3DE2">
        <w:rPr>
          <w:color w:val="000000"/>
          <w:lang w:bidi="en-US"/>
        </w:rPr>
        <w:t>RECOGNITION AND PUBLICATION</w:t>
      </w:r>
      <w:bookmarkEnd w:id="19"/>
    </w:p>
    <w:p w14:paraId="7749CD2D"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The Grant Recipient shall acknowledge MFA's support to the Project in all publications and other materials issued in relation to the Project. MFA’s logotype will be provided by MFA upon request. All use of MFA’s logotype must be approved by MFA.</w:t>
      </w:r>
    </w:p>
    <w:p w14:paraId="65512D5C" w14:textId="77777777" w:rsidR="00B00A3D" w:rsidRPr="006C3DE2" w:rsidRDefault="00B00A3D" w:rsidP="006C3DE2">
      <w:pPr>
        <w:pStyle w:val="Ttulo60"/>
        <w:numPr>
          <w:ilvl w:val="0"/>
          <w:numId w:val="17"/>
        </w:numPr>
        <w:shd w:val="clear" w:color="auto" w:fill="auto"/>
        <w:tabs>
          <w:tab w:val="left" w:pos="658"/>
        </w:tabs>
        <w:spacing w:before="240" w:after="248" w:line="276" w:lineRule="auto"/>
        <w:ind w:left="800" w:right="141" w:hanging="540"/>
      </w:pPr>
      <w:bookmarkStart w:id="20" w:name="bookmark20"/>
      <w:r w:rsidRPr="006C3DE2">
        <w:rPr>
          <w:color w:val="000000"/>
          <w:lang w:bidi="en-US"/>
        </w:rPr>
        <w:t>ENTRY INTO FORCE. DURATION AND AMENDMENT</w:t>
      </w:r>
      <w:bookmarkEnd w:id="20"/>
    </w:p>
    <w:p w14:paraId="7645FF8E"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The Agreement shall enter into force at the date of the last signature and shall remain in force until all obligations arising from it have been fulfilled, or until it is terminated in accordance with the provisions of the General Conditions. Whether the obligations of the Agreement shall be considered fulfilled, will be determined through consultations between the Parties and confirmed by MFA in a completion letter.</w:t>
      </w:r>
    </w:p>
    <w:p w14:paraId="7669E252"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The Agreement may be amended. Any such amendment must be agreed upon in writing between the Parties and shall become an integral part of the Agreement.</w:t>
      </w:r>
    </w:p>
    <w:p w14:paraId="571C47D1"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Termination or expiry of the Agreement shall not release the Parties from any liability arising from any act or omission that has taken place prior to such termination or expiry.</w:t>
      </w:r>
    </w:p>
    <w:p w14:paraId="72FC09A5" w14:textId="77777777" w:rsidR="00B00A3D" w:rsidRPr="006C3DE2" w:rsidRDefault="00B00A3D" w:rsidP="006C3DE2">
      <w:pPr>
        <w:pStyle w:val="Ttulo60"/>
        <w:numPr>
          <w:ilvl w:val="0"/>
          <w:numId w:val="17"/>
        </w:numPr>
        <w:shd w:val="clear" w:color="auto" w:fill="auto"/>
        <w:tabs>
          <w:tab w:val="left" w:pos="658"/>
        </w:tabs>
        <w:spacing w:before="240" w:after="248" w:line="276" w:lineRule="auto"/>
        <w:ind w:left="800" w:right="141" w:hanging="540"/>
      </w:pPr>
      <w:bookmarkStart w:id="21" w:name="bookmark21"/>
      <w:r w:rsidRPr="006C3DE2">
        <w:rPr>
          <w:color w:val="000000"/>
          <w:lang w:bidi="en-US"/>
        </w:rPr>
        <w:t>CHOICE OF LAW AND SETTLEMENT OF DISPUTES</w:t>
      </w:r>
      <w:bookmarkEnd w:id="21"/>
    </w:p>
    <w:p w14:paraId="4A0AEE49"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The Agreement shall be governed and construed in accordance with Norwegian law.</w:t>
      </w:r>
    </w:p>
    <w:p w14:paraId="20643D5D"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If any dispute arises relating to the implementation or interpretation of the Agreement, the Parties shall seek to reach an amicable solution.</w:t>
      </w:r>
    </w:p>
    <w:p w14:paraId="77C6F507"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Any dispute arising out of or in connection with the Agreement that cannot be solved amicably, shall exclusively be settled before the Norwegian courts of law with Oslo District Court as legal venue.</w:t>
      </w:r>
    </w:p>
    <w:p w14:paraId="26B2FA31"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MFA may, at its own sole discretion and as an alternative to the legal venue mentioned above, choose to settle the dispute by</w:t>
      </w:r>
    </w:p>
    <w:p w14:paraId="3B34EBF7" w14:textId="77777777" w:rsidR="00B00A3D" w:rsidRPr="006C3DE2" w:rsidRDefault="00B00A3D" w:rsidP="006C3DE2">
      <w:pPr>
        <w:numPr>
          <w:ilvl w:val="0"/>
          <w:numId w:val="19"/>
        </w:numPr>
        <w:spacing w:line="276" w:lineRule="auto"/>
        <w:ind w:left="993" w:right="141" w:hanging="360"/>
        <w:jc w:val="both"/>
        <w:rPr>
          <w:rFonts w:ascii="Times New Roman" w:hAnsi="Times New Roman" w:cs="Times New Roman"/>
          <w:sz w:val="21"/>
          <w:szCs w:val="21"/>
        </w:rPr>
      </w:pPr>
      <w:r w:rsidRPr="006C3DE2">
        <w:rPr>
          <w:rFonts w:ascii="Times New Roman" w:hAnsi="Times New Roman" w:cs="Times New Roman"/>
          <w:sz w:val="21"/>
          <w:szCs w:val="21"/>
        </w:rPr>
        <w:t>the courts in the legal venue of the Grant Recipient, or</w:t>
      </w:r>
    </w:p>
    <w:p w14:paraId="784D251D" w14:textId="77777777" w:rsidR="00B00A3D" w:rsidRPr="006C3DE2" w:rsidRDefault="00B00A3D" w:rsidP="006C3DE2">
      <w:pPr>
        <w:numPr>
          <w:ilvl w:val="0"/>
          <w:numId w:val="19"/>
        </w:numPr>
        <w:spacing w:after="240" w:line="276" w:lineRule="auto"/>
        <w:ind w:left="993" w:right="141" w:hanging="360"/>
        <w:jc w:val="both"/>
        <w:rPr>
          <w:rFonts w:ascii="Times New Roman" w:hAnsi="Times New Roman" w:cs="Times New Roman"/>
          <w:sz w:val="21"/>
          <w:szCs w:val="21"/>
        </w:rPr>
      </w:pPr>
      <w:r w:rsidRPr="006C3DE2">
        <w:rPr>
          <w:rFonts w:ascii="Times New Roman" w:hAnsi="Times New Roman" w:cs="Times New Roman"/>
          <w:sz w:val="21"/>
          <w:szCs w:val="21"/>
        </w:rPr>
        <w:t>arbitration in accordance with the Arbitration Rules of the Arbitration Institute of the Stockholm Chamber of Commerce. The arbitral tribunal shall be composed of three arbitrators. If the disputed amount is below an amount corresponding to NOK 10 000 000 the arbitral tribunal shall, however, be composed of a sole arbitrator, The seat of arbitration shall be Stockholm. Sweden, and the language to be used in the arbitral proceedings shall be English. The Parties agree that neither the arbitral proceedings nor the award shall be subject to any confidentiality.</w:t>
      </w:r>
    </w:p>
    <w:p w14:paraId="4295C731" w14:textId="77777777" w:rsidR="00B00A3D" w:rsidRPr="006C3DE2" w:rsidRDefault="00B00A3D" w:rsidP="00582889">
      <w:pPr>
        <w:numPr>
          <w:ilvl w:val="1"/>
          <w:numId w:val="17"/>
        </w:numPr>
        <w:spacing w:after="343" w:line="276" w:lineRule="auto"/>
        <w:ind w:left="851" w:right="141" w:hanging="567"/>
        <w:jc w:val="both"/>
        <w:rPr>
          <w:rFonts w:ascii="Times New Roman" w:hAnsi="Times New Roman" w:cs="Times New Roman"/>
          <w:sz w:val="21"/>
          <w:szCs w:val="21"/>
        </w:rPr>
      </w:pPr>
      <w:r w:rsidRPr="006C3DE2">
        <w:rPr>
          <w:rFonts w:ascii="Times New Roman" w:hAnsi="Times New Roman" w:cs="Times New Roman"/>
          <w:sz w:val="21"/>
          <w:szCs w:val="21"/>
        </w:rPr>
        <w:t>The Parties agree that no other courts of law. than as set out in this article 25, shall have jurisdiction over disputes arising out of or in connection with this Agreement.</w:t>
      </w:r>
    </w:p>
    <w:p w14:paraId="07076DCF" w14:textId="1C89C5C1" w:rsidR="00B00A3D" w:rsidRDefault="00B00A3D" w:rsidP="00582889">
      <w:pPr>
        <w:spacing w:line="276" w:lineRule="auto"/>
        <w:ind w:left="851" w:right="141"/>
        <w:jc w:val="center"/>
        <w:rPr>
          <w:rFonts w:ascii="Times New Roman" w:hAnsi="Times New Roman" w:cs="Times New Roman"/>
          <w:sz w:val="21"/>
          <w:szCs w:val="21"/>
        </w:rPr>
      </w:pPr>
      <w:r w:rsidRPr="006C3DE2">
        <w:rPr>
          <w:rFonts w:ascii="Times New Roman" w:hAnsi="Times New Roman" w:cs="Times New Roman"/>
          <w:sz w:val="21"/>
          <w:szCs w:val="21"/>
        </w:rPr>
        <w:t>***</w:t>
      </w:r>
    </w:p>
    <w:p w14:paraId="6C743C0D" w14:textId="77777777" w:rsidR="006C3DE2" w:rsidRPr="006C3DE2" w:rsidRDefault="006C3DE2" w:rsidP="00582889">
      <w:pPr>
        <w:spacing w:line="276" w:lineRule="auto"/>
        <w:ind w:right="141"/>
        <w:rPr>
          <w:rFonts w:ascii="Times New Roman" w:hAnsi="Times New Roman" w:cs="Times New Roman"/>
          <w:sz w:val="21"/>
          <w:szCs w:val="21"/>
        </w:rPr>
      </w:pPr>
    </w:p>
    <w:p w14:paraId="5831281E" w14:textId="77777777" w:rsidR="006C3DE2" w:rsidRDefault="006C3DE2" w:rsidP="00B00A3D">
      <w:pPr>
        <w:ind w:right="567"/>
        <w:rPr>
          <w:rFonts w:ascii="Times New Roman" w:hAnsi="Times New Roman" w:cs="Times New Roman"/>
          <w:sz w:val="21"/>
          <w:szCs w:val="21"/>
        </w:rPr>
        <w:sectPr w:rsidR="006C3DE2" w:rsidSect="006C3DE2">
          <w:pgSz w:w="11907" w:h="16840" w:code="9"/>
          <w:pgMar w:top="1418" w:right="1701" w:bottom="1134" w:left="1134" w:header="709" w:footer="709" w:gutter="0"/>
          <w:cols w:space="708"/>
          <w:titlePg/>
          <w:docGrid w:linePitch="360"/>
        </w:sectPr>
      </w:pPr>
    </w:p>
    <w:p w14:paraId="34F363CD" w14:textId="785AE146" w:rsidR="00B00A3D" w:rsidRDefault="00B00A3D" w:rsidP="00B00A3D">
      <w:pPr>
        <w:ind w:right="567"/>
        <w:rPr>
          <w:rFonts w:ascii="Times New Roman" w:hAnsi="Times New Roman" w:cs="Times New Roman"/>
          <w:sz w:val="21"/>
          <w:szCs w:val="21"/>
        </w:rPr>
      </w:pPr>
    </w:p>
    <w:p w14:paraId="25ACBA18" w14:textId="77777777" w:rsidR="00582889" w:rsidRPr="00582889" w:rsidRDefault="00582889" w:rsidP="002038B7">
      <w:pPr>
        <w:pStyle w:val="Ttulo30"/>
        <w:shd w:val="clear" w:color="auto" w:fill="auto"/>
        <w:spacing w:before="120" w:after="619" w:line="276" w:lineRule="auto"/>
        <w:ind w:left="420"/>
        <w:jc w:val="center"/>
      </w:pPr>
      <w:bookmarkStart w:id="22" w:name="bookmark23"/>
      <w:r w:rsidRPr="00582889">
        <w:rPr>
          <w:color w:val="000000"/>
          <w:lang w:bidi="en-US"/>
        </w:rPr>
        <w:t>PART III: PROCUREMENT</w:t>
      </w:r>
      <w:r w:rsidRPr="00582889">
        <w:rPr>
          <w:color w:val="000000"/>
          <w:lang w:bidi="en-US"/>
        </w:rPr>
        <w:br/>
        <w:t>IN THE CONTEXT OF PROJECTS FINANCED BY</w:t>
      </w:r>
      <w:r w:rsidRPr="00582889">
        <w:rPr>
          <w:color w:val="000000"/>
          <w:lang w:bidi="en-US"/>
        </w:rPr>
        <w:br/>
        <w:t>THE NORWEGIAN MINISTRY OF FOREIGN AFFAIRS</w:t>
      </w:r>
      <w:bookmarkEnd w:id="22"/>
    </w:p>
    <w:p w14:paraId="6E6C03E2" w14:textId="77777777" w:rsidR="00582889" w:rsidRPr="00582889" w:rsidRDefault="00582889" w:rsidP="002038B7">
      <w:pPr>
        <w:pStyle w:val="Ttulo530"/>
        <w:numPr>
          <w:ilvl w:val="0"/>
          <w:numId w:val="26"/>
        </w:numPr>
        <w:shd w:val="clear" w:color="auto" w:fill="auto"/>
        <w:tabs>
          <w:tab w:val="left" w:pos="784"/>
        </w:tabs>
        <w:spacing w:before="0" w:after="209" w:line="276" w:lineRule="auto"/>
        <w:ind w:left="820"/>
        <w:rPr>
          <w:b/>
          <w:bCs/>
        </w:rPr>
      </w:pPr>
      <w:bookmarkStart w:id="23" w:name="bookmark24"/>
      <w:r w:rsidRPr="00582889">
        <w:rPr>
          <w:b/>
          <w:bCs/>
          <w:color w:val="000000"/>
          <w:lang w:bidi="en-US"/>
        </w:rPr>
        <w:t>INTRODUCTION</w:t>
      </w:r>
      <w:bookmarkEnd w:id="23"/>
    </w:p>
    <w:p w14:paraId="40DDD4C9" w14:textId="7CFAAA5F" w:rsidR="00582889" w:rsidRPr="00582889" w:rsidRDefault="00582889" w:rsidP="002038B7">
      <w:pPr>
        <w:numPr>
          <w:ilvl w:val="1"/>
          <w:numId w:val="26"/>
        </w:numPr>
        <w:spacing w:after="300" w:line="276" w:lineRule="auto"/>
        <w:ind w:left="820" w:hanging="520"/>
        <w:jc w:val="both"/>
        <w:rPr>
          <w:rFonts w:ascii="Times New Roman" w:hAnsi="Times New Roman" w:cs="Times New Roman"/>
          <w:sz w:val="21"/>
          <w:szCs w:val="21"/>
        </w:rPr>
      </w:pPr>
      <w:r w:rsidRPr="00582889">
        <w:rPr>
          <w:rFonts w:ascii="Times New Roman" w:hAnsi="Times New Roman" w:cs="Times New Roman"/>
          <w:sz w:val="21"/>
          <w:szCs w:val="21"/>
        </w:rPr>
        <w:t xml:space="preserve">This Part III sets out procurement rules and principles which shall be applied by the Grant Recipient when procuring goods, services or works to Projects financed by the Ministry of Foreign Affairs (MFA). Stricter rules may supplement the compulsory minimum rules set forth in this Pail </w:t>
      </w:r>
      <w:r w:rsidRPr="00582889">
        <w:rPr>
          <w:rStyle w:val="Textodocorpo2Espaamento-1pt"/>
          <w:rFonts w:eastAsia="Microsoft Sans Serif"/>
        </w:rPr>
        <w:t>111.</w:t>
      </w:r>
    </w:p>
    <w:p w14:paraId="1938FB36" w14:textId="77777777" w:rsidR="00582889" w:rsidRPr="00582889" w:rsidRDefault="00582889" w:rsidP="002038B7">
      <w:pPr>
        <w:numPr>
          <w:ilvl w:val="1"/>
          <w:numId w:val="26"/>
        </w:numPr>
        <w:tabs>
          <w:tab w:val="left" w:pos="784"/>
        </w:tabs>
        <w:spacing w:after="300" w:line="276" w:lineRule="auto"/>
        <w:ind w:left="820" w:hanging="520"/>
        <w:jc w:val="both"/>
        <w:rPr>
          <w:rFonts w:ascii="Times New Roman" w:hAnsi="Times New Roman" w:cs="Times New Roman"/>
          <w:sz w:val="21"/>
          <w:szCs w:val="21"/>
        </w:rPr>
      </w:pPr>
      <w:r w:rsidRPr="00582889">
        <w:rPr>
          <w:rFonts w:ascii="Times New Roman" w:hAnsi="Times New Roman" w:cs="Times New Roman"/>
          <w:sz w:val="21"/>
          <w:szCs w:val="21"/>
        </w:rPr>
        <w:t xml:space="preserve">The MFA may carry out ex post checks on the Grant Recipient's compliance with the rules set forth in this Part </w:t>
      </w:r>
      <w:r w:rsidRPr="00582889">
        <w:rPr>
          <w:rStyle w:val="Textodocorpo2Espaamento-1pt"/>
          <w:rFonts w:eastAsia="Microsoft Sans Serif"/>
        </w:rPr>
        <w:t>111.</w:t>
      </w:r>
    </w:p>
    <w:p w14:paraId="3A0A1871" w14:textId="77777777" w:rsidR="00582889" w:rsidRPr="00582889" w:rsidRDefault="00582889" w:rsidP="002038B7">
      <w:pPr>
        <w:numPr>
          <w:ilvl w:val="1"/>
          <w:numId w:val="26"/>
        </w:numPr>
        <w:tabs>
          <w:tab w:val="left" w:pos="784"/>
        </w:tabs>
        <w:spacing w:after="300" w:line="276" w:lineRule="auto"/>
        <w:ind w:left="820" w:hanging="520"/>
        <w:jc w:val="both"/>
        <w:rPr>
          <w:rFonts w:ascii="Times New Roman" w:hAnsi="Times New Roman" w:cs="Times New Roman"/>
          <w:sz w:val="21"/>
          <w:szCs w:val="21"/>
        </w:rPr>
      </w:pPr>
      <w:r w:rsidRPr="00582889">
        <w:rPr>
          <w:rFonts w:ascii="Times New Roman" w:hAnsi="Times New Roman" w:cs="Times New Roman"/>
          <w:sz w:val="21"/>
          <w:szCs w:val="21"/>
        </w:rPr>
        <w:t>Failure to comply with the rules set forth in this Part III shall render the Project expenditure ineligible for MFA funding and may lead to withholding funds or claim for repayment in accordance with article 17 of the General Conditions (Part II) of this Agreement.</w:t>
      </w:r>
    </w:p>
    <w:p w14:paraId="30586804" w14:textId="77777777" w:rsidR="00582889" w:rsidRPr="00582889" w:rsidRDefault="00582889" w:rsidP="002038B7">
      <w:pPr>
        <w:numPr>
          <w:ilvl w:val="1"/>
          <w:numId w:val="26"/>
        </w:numPr>
        <w:tabs>
          <w:tab w:val="left" w:pos="784"/>
        </w:tabs>
        <w:spacing w:after="300" w:line="276" w:lineRule="auto"/>
        <w:ind w:left="820" w:hanging="520"/>
        <w:jc w:val="both"/>
        <w:rPr>
          <w:rFonts w:ascii="Times New Roman" w:hAnsi="Times New Roman" w:cs="Times New Roman"/>
          <w:sz w:val="21"/>
          <w:szCs w:val="21"/>
        </w:rPr>
      </w:pPr>
      <w:r w:rsidRPr="00582889">
        <w:rPr>
          <w:rFonts w:ascii="Times New Roman" w:hAnsi="Times New Roman" w:cs="Times New Roman"/>
          <w:sz w:val="21"/>
          <w:szCs w:val="21"/>
        </w:rPr>
        <w:t>Contracts shall not be split artificially to circumvent the procurement thresholds. All monetary amounts referred to in this Part III are amounts excluding value-added tax (VAT).</w:t>
      </w:r>
    </w:p>
    <w:p w14:paraId="4A9B2770" w14:textId="77777777" w:rsidR="00582889" w:rsidRPr="00582889" w:rsidRDefault="00582889" w:rsidP="002038B7">
      <w:pPr>
        <w:numPr>
          <w:ilvl w:val="1"/>
          <w:numId w:val="26"/>
        </w:numPr>
        <w:tabs>
          <w:tab w:val="left" w:pos="784"/>
        </w:tabs>
        <w:spacing w:after="300" w:line="276" w:lineRule="auto"/>
        <w:ind w:left="820" w:hanging="520"/>
        <w:jc w:val="both"/>
        <w:rPr>
          <w:rFonts w:ascii="Times New Roman" w:hAnsi="Times New Roman" w:cs="Times New Roman"/>
          <w:sz w:val="21"/>
          <w:szCs w:val="21"/>
        </w:rPr>
      </w:pPr>
      <w:r w:rsidRPr="00582889">
        <w:rPr>
          <w:rFonts w:ascii="Times New Roman" w:hAnsi="Times New Roman" w:cs="Times New Roman"/>
          <w:sz w:val="21"/>
          <w:szCs w:val="21"/>
        </w:rPr>
        <w:t>The procurement provisions shall also apply to any procurements to be carried out by the Grant Recipient's cooperation partners or others. The Grant Recipient shall be responsible for compliance as per article 11 of the General Conditions (Part II) of this Agreement regardless of whether the procurement is carried out by the Grant Recipient itself or its cooperation partners or others.</w:t>
      </w:r>
    </w:p>
    <w:p w14:paraId="3D44C031" w14:textId="77777777" w:rsidR="00582889" w:rsidRPr="00582889" w:rsidRDefault="00582889" w:rsidP="002038B7">
      <w:pPr>
        <w:numPr>
          <w:ilvl w:val="1"/>
          <w:numId w:val="26"/>
        </w:numPr>
        <w:tabs>
          <w:tab w:val="left" w:pos="784"/>
        </w:tabs>
        <w:spacing w:after="347" w:line="276" w:lineRule="auto"/>
        <w:ind w:left="820" w:hanging="520"/>
        <w:jc w:val="both"/>
        <w:rPr>
          <w:rFonts w:ascii="Times New Roman" w:hAnsi="Times New Roman" w:cs="Times New Roman"/>
          <w:sz w:val="21"/>
          <w:szCs w:val="21"/>
        </w:rPr>
      </w:pPr>
      <w:r w:rsidRPr="00582889">
        <w:rPr>
          <w:rFonts w:ascii="Times New Roman" w:hAnsi="Times New Roman" w:cs="Times New Roman"/>
          <w:sz w:val="21"/>
          <w:szCs w:val="21"/>
        </w:rPr>
        <w:t>Sections 1 to 4 set out rules, which shall apply to all contracts. Sections 5 to 6 contain specific rules for service, supply and works contracts. Section 7 lists the situations where a negotiated procedure without prior publication is permitted,</w:t>
      </w:r>
    </w:p>
    <w:p w14:paraId="118DDCBD" w14:textId="77777777" w:rsidR="00582889" w:rsidRPr="00582889" w:rsidRDefault="00582889" w:rsidP="002038B7">
      <w:pPr>
        <w:pStyle w:val="Ttulo530"/>
        <w:numPr>
          <w:ilvl w:val="0"/>
          <w:numId w:val="26"/>
        </w:numPr>
        <w:shd w:val="clear" w:color="auto" w:fill="auto"/>
        <w:tabs>
          <w:tab w:val="left" w:pos="784"/>
        </w:tabs>
        <w:spacing w:before="0" w:after="209" w:line="276" w:lineRule="auto"/>
        <w:ind w:left="820"/>
        <w:rPr>
          <w:b/>
          <w:bCs/>
          <w:color w:val="000000"/>
          <w:lang w:bidi="en-US"/>
        </w:rPr>
      </w:pPr>
      <w:bookmarkStart w:id="24" w:name="bookmark25"/>
      <w:r w:rsidRPr="00582889">
        <w:rPr>
          <w:b/>
          <w:bCs/>
          <w:color w:val="000000"/>
          <w:lang w:bidi="en-US"/>
        </w:rPr>
        <w:t>BASIC PRINCIPLES</w:t>
      </w:r>
      <w:bookmarkEnd w:id="24"/>
    </w:p>
    <w:p w14:paraId="0A59F656" w14:textId="77777777" w:rsidR="00582889" w:rsidRPr="00582889" w:rsidRDefault="00582889" w:rsidP="002038B7">
      <w:pPr>
        <w:numPr>
          <w:ilvl w:val="0"/>
          <w:numId w:val="27"/>
        </w:numPr>
        <w:tabs>
          <w:tab w:val="left" w:pos="784"/>
        </w:tabs>
        <w:spacing w:after="347" w:line="276" w:lineRule="auto"/>
        <w:ind w:left="820" w:hanging="520"/>
        <w:jc w:val="both"/>
        <w:rPr>
          <w:rFonts w:ascii="Times New Roman" w:hAnsi="Times New Roman" w:cs="Times New Roman"/>
          <w:sz w:val="21"/>
          <w:szCs w:val="21"/>
        </w:rPr>
      </w:pPr>
      <w:r w:rsidRPr="00582889">
        <w:rPr>
          <w:rFonts w:ascii="Times New Roman" w:hAnsi="Times New Roman" w:cs="Times New Roman"/>
          <w:sz w:val="21"/>
          <w:szCs w:val="21"/>
        </w:rPr>
        <w:t>If a Project requires procurement by the Grant Recipient, the contract must be awarded following a tender procedure to the most economically advantageous tender (i.e. to the tenderer obtaining the best score based on price and quality), or. as appropriate, to the tenderer offering the lowest price. In doing so, the Grant Recipient shall avoid any conflict of interests and respect the following basic principles:</w:t>
      </w:r>
    </w:p>
    <w:p w14:paraId="7FD4FB4C" w14:textId="39BB695F" w:rsidR="00582889" w:rsidRDefault="00582889" w:rsidP="002038B7">
      <w:pPr>
        <w:pStyle w:val="PargrafodaLista"/>
        <w:numPr>
          <w:ilvl w:val="0"/>
          <w:numId w:val="40"/>
        </w:numPr>
        <w:spacing w:line="276" w:lineRule="auto"/>
        <w:ind w:left="851"/>
        <w:jc w:val="both"/>
        <w:rPr>
          <w:rFonts w:ascii="Times New Roman" w:hAnsi="Times New Roman" w:cs="Times New Roman"/>
          <w:sz w:val="21"/>
          <w:szCs w:val="21"/>
        </w:rPr>
      </w:pPr>
      <w:r w:rsidRPr="00582889">
        <w:rPr>
          <w:rFonts w:ascii="Times New Roman" w:hAnsi="Times New Roman" w:cs="Times New Roman"/>
          <w:b/>
          <w:bCs/>
          <w:sz w:val="21"/>
          <w:szCs w:val="21"/>
        </w:rPr>
        <w:t>Competition:</w:t>
      </w:r>
      <w:r w:rsidRPr="00582889">
        <w:rPr>
          <w:rFonts w:ascii="Times New Roman" w:hAnsi="Times New Roman" w:cs="Times New Roman"/>
          <w:sz w:val="21"/>
          <w:szCs w:val="21"/>
        </w:rPr>
        <w:t xml:space="preserve"> The procedures applied and the award of contracts shall be based on fair competition.</w:t>
      </w:r>
    </w:p>
    <w:p w14:paraId="65C62312" w14:textId="77777777" w:rsidR="00582889" w:rsidRPr="00582889" w:rsidRDefault="00582889" w:rsidP="002038B7">
      <w:pPr>
        <w:pStyle w:val="PargrafodaLista"/>
        <w:spacing w:line="276" w:lineRule="auto"/>
        <w:ind w:left="851"/>
        <w:jc w:val="both"/>
        <w:rPr>
          <w:rFonts w:ascii="Times New Roman" w:hAnsi="Times New Roman" w:cs="Times New Roman"/>
          <w:sz w:val="21"/>
          <w:szCs w:val="21"/>
        </w:rPr>
      </w:pPr>
    </w:p>
    <w:p w14:paraId="1E244578" w14:textId="66A4FD69" w:rsidR="00582889" w:rsidRDefault="00582889" w:rsidP="002038B7">
      <w:pPr>
        <w:pStyle w:val="PargrafodaLista"/>
        <w:numPr>
          <w:ilvl w:val="0"/>
          <w:numId w:val="40"/>
        </w:numPr>
        <w:spacing w:before="360" w:line="276" w:lineRule="auto"/>
        <w:ind w:left="851"/>
        <w:jc w:val="both"/>
        <w:rPr>
          <w:rFonts w:ascii="Times New Roman" w:hAnsi="Times New Roman" w:cs="Times New Roman"/>
          <w:sz w:val="21"/>
          <w:szCs w:val="21"/>
        </w:rPr>
      </w:pPr>
      <w:r w:rsidRPr="00582889">
        <w:rPr>
          <w:rFonts w:ascii="Times New Roman" w:hAnsi="Times New Roman" w:cs="Times New Roman"/>
          <w:b/>
          <w:bCs/>
          <w:sz w:val="21"/>
          <w:szCs w:val="21"/>
        </w:rPr>
        <w:t>Equal treatment and non-discrimination:</w:t>
      </w:r>
      <w:r w:rsidRPr="00582889">
        <w:rPr>
          <w:rFonts w:ascii="Times New Roman" w:hAnsi="Times New Roman" w:cs="Times New Roman"/>
          <w:sz w:val="21"/>
          <w:szCs w:val="21"/>
        </w:rPr>
        <w:t xml:space="preserve"> Participation in tender procedures shall be open on equal terms to all natural and legal persons. During the entire procurement and the award of contracts, the Grant Recipient shall not discriminate against candidates/tenderers or groups of candidates/tenderers.</w:t>
      </w:r>
    </w:p>
    <w:p w14:paraId="5F4DB574" w14:textId="77777777" w:rsidR="00582889" w:rsidRPr="00582889" w:rsidRDefault="00582889" w:rsidP="002038B7">
      <w:pPr>
        <w:pStyle w:val="PargrafodaLista"/>
        <w:spacing w:line="276" w:lineRule="auto"/>
        <w:ind w:left="851"/>
        <w:rPr>
          <w:rFonts w:ascii="Times New Roman" w:hAnsi="Times New Roman" w:cs="Times New Roman"/>
          <w:sz w:val="21"/>
          <w:szCs w:val="21"/>
        </w:rPr>
      </w:pPr>
    </w:p>
    <w:p w14:paraId="6DA4B022" w14:textId="15AD99B4" w:rsidR="00582889" w:rsidRDefault="00582889" w:rsidP="002038B7">
      <w:pPr>
        <w:pStyle w:val="PargrafodaLista"/>
        <w:numPr>
          <w:ilvl w:val="0"/>
          <w:numId w:val="40"/>
        </w:numPr>
        <w:spacing w:before="360" w:line="276" w:lineRule="auto"/>
        <w:ind w:left="851"/>
        <w:jc w:val="both"/>
        <w:rPr>
          <w:rFonts w:ascii="Times New Roman" w:hAnsi="Times New Roman" w:cs="Times New Roman"/>
          <w:sz w:val="21"/>
          <w:szCs w:val="21"/>
        </w:rPr>
      </w:pPr>
      <w:r w:rsidRPr="00582889">
        <w:rPr>
          <w:rFonts w:ascii="Times New Roman" w:hAnsi="Times New Roman" w:cs="Times New Roman"/>
          <w:b/>
          <w:bCs/>
          <w:sz w:val="21"/>
          <w:szCs w:val="21"/>
        </w:rPr>
        <w:t>Transparency and ex-ante publicity;</w:t>
      </w:r>
      <w:r w:rsidRPr="00582889">
        <w:rPr>
          <w:rFonts w:ascii="Times New Roman" w:hAnsi="Times New Roman" w:cs="Times New Roman"/>
          <w:sz w:val="21"/>
          <w:szCs w:val="21"/>
        </w:rPr>
        <w:t xml:space="preserve"> As a general rule, tender procedures shall be based on prior publication. Where the Grant Recipient does not launch an open tender procedure, it shall justify the choice of tenderers that are invited to submit an offer.</w:t>
      </w:r>
    </w:p>
    <w:p w14:paraId="31C3A5F0" w14:textId="77777777" w:rsidR="00582889" w:rsidRPr="00582889" w:rsidRDefault="00582889" w:rsidP="002038B7">
      <w:pPr>
        <w:pStyle w:val="PargrafodaLista"/>
        <w:spacing w:line="276" w:lineRule="auto"/>
        <w:ind w:left="851"/>
        <w:rPr>
          <w:rFonts w:ascii="Times New Roman" w:hAnsi="Times New Roman" w:cs="Times New Roman"/>
          <w:sz w:val="21"/>
          <w:szCs w:val="21"/>
        </w:rPr>
      </w:pPr>
    </w:p>
    <w:p w14:paraId="3D58AEEF" w14:textId="77777777" w:rsidR="00582889" w:rsidRDefault="00582889" w:rsidP="002038B7">
      <w:pPr>
        <w:pStyle w:val="PargrafodaLista"/>
        <w:numPr>
          <w:ilvl w:val="0"/>
          <w:numId w:val="40"/>
        </w:numPr>
        <w:spacing w:before="360" w:line="276" w:lineRule="auto"/>
        <w:ind w:left="851"/>
        <w:jc w:val="both"/>
        <w:rPr>
          <w:rFonts w:ascii="Times New Roman" w:hAnsi="Times New Roman" w:cs="Times New Roman"/>
          <w:sz w:val="21"/>
          <w:szCs w:val="21"/>
        </w:rPr>
      </w:pPr>
      <w:r w:rsidRPr="00582889">
        <w:rPr>
          <w:rFonts w:ascii="Times New Roman" w:hAnsi="Times New Roman" w:cs="Times New Roman"/>
          <w:b/>
          <w:bCs/>
          <w:sz w:val="21"/>
          <w:szCs w:val="21"/>
        </w:rPr>
        <w:t>Objective criteria:</w:t>
      </w:r>
      <w:r w:rsidRPr="00582889">
        <w:rPr>
          <w:rFonts w:ascii="Times New Roman" w:hAnsi="Times New Roman" w:cs="Times New Roman"/>
          <w:sz w:val="21"/>
          <w:szCs w:val="21"/>
        </w:rPr>
        <w:t xml:space="preserve"> The Grant Recipient shall evaluate the offers received against objective criteria, which enable the Grant Recipient to measure the quality of the offers and shall </w:t>
      </w:r>
      <w:proofErr w:type="spellStart"/>
      <w:r w:rsidRPr="00582889">
        <w:rPr>
          <w:rFonts w:ascii="Times New Roman" w:hAnsi="Times New Roman" w:cs="Times New Roman"/>
          <w:sz w:val="21"/>
          <w:szCs w:val="21"/>
        </w:rPr>
        <w:t>lake</w:t>
      </w:r>
      <w:proofErr w:type="spellEnd"/>
      <w:r w:rsidRPr="00582889">
        <w:rPr>
          <w:rFonts w:ascii="Times New Roman" w:hAnsi="Times New Roman" w:cs="Times New Roman"/>
          <w:sz w:val="21"/>
          <w:szCs w:val="21"/>
        </w:rPr>
        <w:t xml:space="preserve"> into account the price (the offer with the lowest price shall be awarded the highest score for the price criterion). The criteria shall be set out beforehand and shall be relevant to the contract in question.</w:t>
      </w:r>
    </w:p>
    <w:p w14:paraId="0E3BDBDF" w14:textId="77777777" w:rsidR="00582889" w:rsidRPr="00582889" w:rsidRDefault="00582889" w:rsidP="002038B7">
      <w:pPr>
        <w:pStyle w:val="PargrafodaLista"/>
        <w:spacing w:line="276" w:lineRule="auto"/>
        <w:rPr>
          <w:rFonts w:ascii="Times New Roman" w:hAnsi="Times New Roman" w:cs="Times New Roman"/>
          <w:sz w:val="21"/>
          <w:szCs w:val="21"/>
        </w:rPr>
      </w:pPr>
    </w:p>
    <w:p w14:paraId="29FC06AC" w14:textId="0A0001FB" w:rsidR="00582889" w:rsidRPr="00582889" w:rsidRDefault="00582889" w:rsidP="002038B7">
      <w:pPr>
        <w:pStyle w:val="PargrafodaLista"/>
        <w:numPr>
          <w:ilvl w:val="0"/>
          <w:numId w:val="40"/>
        </w:numPr>
        <w:spacing w:before="360" w:line="276" w:lineRule="auto"/>
        <w:ind w:left="851"/>
        <w:jc w:val="both"/>
        <w:rPr>
          <w:rFonts w:ascii="Times New Roman" w:hAnsi="Times New Roman" w:cs="Times New Roman"/>
          <w:sz w:val="21"/>
          <w:szCs w:val="21"/>
        </w:rPr>
      </w:pPr>
      <w:r w:rsidRPr="00582889">
        <w:rPr>
          <w:rFonts w:ascii="Times New Roman" w:hAnsi="Times New Roman" w:cs="Times New Roman"/>
          <w:b/>
          <w:bCs/>
          <w:sz w:val="21"/>
          <w:szCs w:val="21"/>
        </w:rPr>
        <w:t>Notoriety:</w:t>
      </w:r>
      <w:r w:rsidRPr="00582889">
        <w:rPr>
          <w:rFonts w:ascii="Times New Roman" w:hAnsi="Times New Roman" w:cs="Times New Roman"/>
          <w:sz w:val="21"/>
          <w:szCs w:val="21"/>
        </w:rPr>
        <w:t xml:space="preserve"> The Grant Recipient shall keep sufficient and appropriate records and documentation with regard to the procedure, its evaluation and award.</w:t>
      </w:r>
    </w:p>
    <w:p w14:paraId="573D6910" w14:textId="77777777" w:rsidR="00582889" w:rsidRPr="00582889" w:rsidRDefault="00582889" w:rsidP="002038B7">
      <w:pPr>
        <w:pStyle w:val="Ttulo530"/>
        <w:numPr>
          <w:ilvl w:val="0"/>
          <w:numId w:val="26"/>
        </w:numPr>
        <w:shd w:val="clear" w:color="auto" w:fill="auto"/>
        <w:tabs>
          <w:tab w:val="left" w:pos="784"/>
        </w:tabs>
        <w:spacing w:before="100" w:beforeAutospacing="1" w:after="209" w:line="276" w:lineRule="auto"/>
        <w:ind w:left="820"/>
        <w:rPr>
          <w:b/>
          <w:bCs/>
          <w:color w:val="000000"/>
          <w:lang w:bidi="en-US"/>
        </w:rPr>
      </w:pPr>
      <w:bookmarkStart w:id="25" w:name="bookmark27"/>
      <w:r w:rsidRPr="00582889">
        <w:rPr>
          <w:b/>
          <w:bCs/>
          <w:color w:val="000000"/>
          <w:lang w:bidi="en-US"/>
        </w:rPr>
        <w:t>ELIGIBLE TENDERERS</w:t>
      </w:r>
      <w:bookmarkEnd w:id="25"/>
    </w:p>
    <w:p w14:paraId="69F477FB" w14:textId="77777777" w:rsidR="00582889" w:rsidRPr="00582889" w:rsidRDefault="00582889" w:rsidP="002038B7">
      <w:pPr>
        <w:pStyle w:val="Textodocorpo60"/>
        <w:numPr>
          <w:ilvl w:val="0"/>
          <w:numId w:val="30"/>
        </w:numPr>
        <w:shd w:val="clear" w:color="auto" w:fill="auto"/>
        <w:tabs>
          <w:tab w:val="left" w:pos="709"/>
        </w:tabs>
        <w:spacing w:before="0" w:after="244" w:line="276" w:lineRule="auto"/>
        <w:ind w:left="284" w:firstLine="0"/>
      </w:pPr>
      <w:r w:rsidRPr="00582889">
        <w:rPr>
          <w:color w:val="000000"/>
          <w:lang w:bidi="en-US"/>
        </w:rPr>
        <w:t>Tenderers must provide information on their legal form and ownership structure,</w:t>
      </w:r>
    </w:p>
    <w:p w14:paraId="62ABCAF9" w14:textId="77777777" w:rsidR="00582889" w:rsidRPr="00582889" w:rsidRDefault="00582889" w:rsidP="002038B7">
      <w:pPr>
        <w:pStyle w:val="Textodocorpo60"/>
        <w:numPr>
          <w:ilvl w:val="0"/>
          <w:numId w:val="30"/>
        </w:numPr>
        <w:shd w:val="clear" w:color="auto" w:fill="auto"/>
        <w:tabs>
          <w:tab w:val="left" w:pos="709"/>
        </w:tabs>
        <w:spacing w:before="0" w:after="197" w:line="276" w:lineRule="auto"/>
        <w:ind w:left="284" w:firstLine="0"/>
      </w:pPr>
      <w:r w:rsidRPr="00582889">
        <w:rPr>
          <w:color w:val="000000"/>
          <w:lang w:bidi="en-US"/>
        </w:rPr>
        <w:t>Tenderers shall be excluded from participation in a procurement procedure if:</w:t>
      </w:r>
    </w:p>
    <w:p w14:paraId="739696C8" w14:textId="77777777" w:rsidR="00582889" w:rsidRPr="00582889" w:rsidRDefault="00582889" w:rsidP="002038B7">
      <w:pPr>
        <w:pStyle w:val="Textodocorpo60"/>
        <w:numPr>
          <w:ilvl w:val="0"/>
          <w:numId w:val="31"/>
        </w:numPr>
        <w:shd w:val="clear" w:color="auto" w:fill="auto"/>
        <w:spacing w:before="0" w:line="276" w:lineRule="auto"/>
        <w:ind w:left="700"/>
      </w:pPr>
      <w:r w:rsidRPr="00582889">
        <w:rPr>
          <w:color w:val="000000"/>
          <w:lang w:bidi="en-US"/>
        </w:rPr>
        <w:t>they are bankrupt or being wound up, are having their affairs administered by the courts, have entered into an arrangement with creditors, have suspended business activities, are subject of proceedings concerning those matters, or arc in any analogous situation arising from a similar procedure provided for in national legislation or regulations. However, tenderers in this situation may be eligible to participate insofar as the Grant Recipient is able to purchase supplies on particularly advantageous terms from either a supplier which is definitively winding up its business activities, or the receivers or liquidators of a bankruptcy, through an arrangement with creditors, or through a similar procedure under national law;</w:t>
      </w:r>
    </w:p>
    <w:p w14:paraId="73237F2C" w14:textId="77777777" w:rsidR="00582889" w:rsidRPr="00582889" w:rsidRDefault="00582889" w:rsidP="002038B7">
      <w:pPr>
        <w:pStyle w:val="Textodocorpo60"/>
        <w:numPr>
          <w:ilvl w:val="0"/>
          <w:numId w:val="31"/>
        </w:numPr>
        <w:shd w:val="clear" w:color="auto" w:fill="auto"/>
        <w:spacing w:before="0" w:after="304" w:line="276" w:lineRule="auto"/>
        <w:ind w:left="700"/>
      </w:pPr>
      <w:r w:rsidRPr="00582889">
        <w:rPr>
          <w:color w:val="000000"/>
          <w:lang w:bidi="en-US"/>
        </w:rPr>
        <w:t>they or persons having powers of representation, decision-making or control over them have been convicted of an offence concerning their professional conduct by a final judgment;</w:t>
      </w:r>
    </w:p>
    <w:p w14:paraId="33D2B964" w14:textId="77777777" w:rsidR="00582889" w:rsidRPr="00582889" w:rsidRDefault="00582889" w:rsidP="002038B7">
      <w:pPr>
        <w:pStyle w:val="Textodocorpo60"/>
        <w:numPr>
          <w:ilvl w:val="0"/>
          <w:numId w:val="31"/>
        </w:numPr>
        <w:shd w:val="clear" w:color="auto" w:fill="auto"/>
        <w:spacing w:before="0" w:after="296" w:line="276" w:lineRule="auto"/>
        <w:ind w:left="700"/>
      </w:pPr>
      <w:r w:rsidRPr="00582889">
        <w:rPr>
          <w:color w:val="000000"/>
          <w:lang w:bidi="en-US"/>
        </w:rPr>
        <w:t>they have been guilty of grave professional misconduct; proven by any means which the Grant Recipient can justify;</w:t>
      </w:r>
    </w:p>
    <w:p w14:paraId="698FE031" w14:textId="77777777" w:rsidR="00582889" w:rsidRPr="00582889" w:rsidRDefault="00582889" w:rsidP="002038B7">
      <w:pPr>
        <w:pStyle w:val="Textodocorpo60"/>
        <w:numPr>
          <w:ilvl w:val="0"/>
          <w:numId w:val="31"/>
        </w:numPr>
        <w:shd w:val="clear" w:color="auto" w:fill="auto"/>
        <w:spacing w:before="0" w:after="0" w:line="276" w:lineRule="auto"/>
        <w:ind w:left="700"/>
      </w:pPr>
      <w:r w:rsidRPr="00582889">
        <w:rPr>
          <w:color w:val="000000"/>
          <w:lang w:bidi="en-US"/>
        </w:rPr>
        <w:t>they have not fulfilled obligations relating to the payment of social security contributions or taxes in accordance with the legal provisions of the country in which they are established, or with those of the country of the Grant Recipient or those of the country where the contract is to be performed;</w:t>
      </w:r>
    </w:p>
    <w:p w14:paraId="1A335628" w14:textId="77777777" w:rsidR="00582889" w:rsidRDefault="00582889" w:rsidP="002038B7">
      <w:pPr>
        <w:pStyle w:val="Textodocorpo60"/>
        <w:numPr>
          <w:ilvl w:val="0"/>
          <w:numId w:val="31"/>
        </w:numPr>
        <w:shd w:val="clear" w:color="auto" w:fill="auto"/>
        <w:spacing w:before="240" w:after="0" w:line="276" w:lineRule="auto"/>
        <w:ind w:left="700"/>
      </w:pPr>
      <w:r w:rsidRPr="00582889">
        <w:t xml:space="preserve">they or persons having powers of representation, decision-making or control over them have been convicted for fraud, corruption, involvement in a criminal </w:t>
      </w:r>
      <w:proofErr w:type="spellStart"/>
      <w:r w:rsidRPr="00582889">
        <w:t>organisation</w:t>
      </w:r>
      <w:proofErr w:type="spellEnd"/>
      <w:r w:rsidRPr="00582889">
        <w:t xml:space="preserve"> or money laundering by a final judgment;</w:t>
      </w:r>
    </w:p>
    <w:p w14:paraId="5D746757" w14:textId="5607C41C" w:rsidR="00582889" w:rsidRPr="00582889" w:rsidRDefault="00582889" w:rsidP="002038B7">
      <w:pPr>
        <w:pStyle w:val="Textodocorpo60"/>
        <w:numPr>
          <w:ilvl w:val="0"/>
          <w:numId w:val="31"/>
        </w:numPr>
        <w:shd w:val="clear" w:color="auto" w:fill="auto"/>
        <w:spacing w:before="240" w:after="0" w:line="276" w:lineRule="auto"/>
        <w:ind w:left="700"/>
      </w:pPr>
      <w:r w:rsidRPr="00582889">
        <w:t xml:space="preserve">they make use of child </w:t>
      </w:r>
      <w:proofErr w:type="spellStart"/>
      <w:r w:rsidRPr="00582889">
        <w:t>labour</w:t>
      </w:r>
      <w:proofErr w:type="spellEnd"/>
      <w:r w:rsidRPr="00582889">
        <w:t xml:space="preserve"> or forced </w:t>
      </w:r>
      <w:proofErr w:type="spellStart"/>
      <w:r w:rsidRPr="00582889">
        <w:t>labour</w:t>
      </w:r>
      <w:proofErr w:type="spellEnd"/>
      <w:r w:rsidRPr="00582889">
        <w:t xml:space="preserve"> and/or </w:t>
      </w:r>
      <w:proofErr w:type="spellStart"/>
      <w:r w:rsidRPr="00582889">
        <w:t>practise</w:t>
      </w:r>
      <w:proofErr w:type="spellEnd"/>
      <w:r w:rsidRPr="00582889">
        <w:t xml:space="preserve"> discrimination, and/or do not respect the right to freedom of association and the right to </w:t>
      </w:r>
      <w:proofErr w:type="spellStart"/>
      <w:r w:rsidRPr="00582889">
        <w:t>organise</w:t>
      </w:r>
      <w:proofErr w:type="spellEnd"/>
      <w:r w:rsidRPr="00582889">
        <w:t xml:space="preserve"> and engage in collective bargaining pursuant to the core conventions of the International </w:t>
      </w:r>
      <w:proofErr w:type="spellStart"/>
      <w:r w:rsidRPr="00582889">
        <w:t>Labour</w:t>
      </w:r>
      <w:proofErr w:type="spellEnd"/>
      <w:r w:rsidRPr="00582889">
        <w:t xml:space="preserve"> Organization (ILO).</w:t>
      </w:r>
    </w:p>
    <w:p w14:paraId="24393E9D" w14:textId="77777777" w:rsidR="00582889" w:rsidRPr="00582889" w:rsidRDefault="00582889" w:rsidP="002038B7">
      <w:pPr>
        <w:pStyle w:val="Textodocorpo60"/>
        <w:numPr>
          <w:ilvl w:val="0"/>
          <w:numId w:val="30"/>
        </w:numPr>
        <w:shd w:val="clear" w:color="auto" w:fill="auto"/>
        <w:tabs>
          <w:tab w:val="left" w:pos="709"/>
        </w:tabs>
        <w:spacing w:before="240" w:after="197" w:line="276" w:lineRule="auto"/>
        <w:ind w:left="284" w:firstLine="0"/>
        <w:rPr>
          <w:color w:val="000000"/>
          <w:lang w:bidi="en-US"/>
        </w:rPr>
      </w:pPr>
      <w:r w:rsidRPr="00582889">
        <w:rPr>
          <w:color w:val="000000"/>
          <w:lang w:bidi="en-US"/>
        </w:rPr>
        <w:t xml:space="preserve">Tenderers shall confirm in writing that they </w:t>
      </w:r>
      <w:proofErr w:type="spellStart"/>
      <w:r w:rsidRPr="00582889">
        <w:rPr>
          <w:color w:val="000000"/>
          <w:lang w:bidi="en-US"/>
        </w:rPr>
        <w:t>arc</w:t>
      </w:r>
      <w:proofErr w:type="spellEnd"/>
      <w:r w:rsidRPr="00582889">
        <w:rPr>
          <w:color w:val="000000"/>
          <w:lang w:bidi="en-US"/>
        </w:rPr>
        <w:t xml:space="preserve"> not in any of the situations listed above. Even if such confirmation is given by a tenderer-, the Grant Recipient shall investigate any of the situations listed above if it has reasonable grounds to doubt the contents of such confirmation.</w:t>
      </w:r>
    </w:p>
    <w:p w14:paraId="4323D80A" w14:textId="77777777" w:rsidR="00582889" w:rsidRPr="00582889" w:rsidRDefault="00582889" w:rsidP="002038B7">
      <w:pPr>
        <w:pStyle w:val="Textodocorpo60"/>
        <w:numPr>
          <w:ilvl w:val="0"/>
          <w:numId w:val="30"/>
        </w:numPr>
        <w:shd w:val="clear" w:color="auto" w:fill="auto"/>
        <w:tabs>
          <w:tab w:val="left" w:pos="709"/>
        </w:tabs>
        <w:spacing w:before="240" w:after="197" w:line="276" w:lineRule="auto"/>
        <w:ind w:left="284" w:firstLine="0"/>
      </w:pPr>
      <w:r w:rsidRPr="00582889">
        <w:rPr>
          <w:color w:val="000000"/>
          <w:lang w:bidi="en-US"/>
        </w:rPr>
        <w:t>Contracts shall not be awarded to tenderers which, during the procurement procedure:</w:t>
      </w:r>
    </w:p>
    <w:p w14:paraId="5123CAA7" w14:textId="77777777" w:rsidR="00582889" w:rsidRPr="00582889" w:rsidRDefault="00582889" w:rsidP="002038B7">
      <w:pPr>
        <w:numPr>
          <w:ilvl w:val="0"/>
          <w:numId w:val="32"/>
        </w:numPr>
        <w:spacing w:after="257" w:line="276" w:lineRule="auto"/>
        <w:ind w:left="860" w:hanging="400"/>
        <w:jc w:val="both"/>
        <w:rPr>
          <w:rFonts w:ascii="Times New Roman" w:hAnsi="Times New Roman" w:cs="Times New Roman"/>
          <w:sz w:val="21"/>
          <w:szCs w:val="21"/>
        </w:rPr>
      </w:pPr>
      <w:r w:rsidRPr="00582889">
        <w:rPr>
          <w:rFonts w:ascii="Times New Roman" w:hAnsi="Times New Roman" w:cs="Times New Roman"/>
          <w:sz w:val="21"/>
          <w:szCs w:val="21"/>
        </w:rPr>
        <w:t>are subject to a conflict of interests;</w:t>
      </w:r>
    </w:p>
    <w:p w14:paraId="65224C65" w14:textId="77777777" w:rsidR="00582889" w:rsidRPr="00582889" w:rsidRDefault="00582889" w:rsidP="002038B7">
      <w:pPr>
        <w:numPr>
          <w:ilvl w:val="0"/>
          <w:numId w:val="32"/>
        </w:numPr>
        <w:spacing w:after="287" w:line="276" w:lineRule="auto"/>
        <w:ind w:left="860" w:hanging="400"/>
        <w:jc w:val="both"/>
        <w:rPr>
          <w:rFonts w:ascii="Times New Roman" w:hAnsi="Times New Roman" w:cs="Times New Roman"/>
          <w:sz w:val="21"/>
          <w:szCs w:val="21"/>
        </w:rPr>
      </w:pPr>
      <w:r w:rsidRPr="00582889">
        <w:rPr>
          <w:rFonts w:ascii="Times New Roman" w:hAnsi="Times New Roman" w:cs="Times New Roman"/>
          <w:sz w:val="21"/>
          <w:szCs w:val="21"/>
        </w:rPr>
        <w:t>are guilty of misrepresentation in supplying the information required by the Grant Recipient as a condition of participation in the tender procedure, or fail to supply this information.</w:t>
      </w:r>
    </w:p>
    <w:p w14:paraId="2240149F" w14:textId="77777777" w:rsidR="00582889" w:rsidRDefault="00582889" w:rsidP="002038B7">
      <w:pPr>
        <w:pStyle w:val="Ttulo530"/>
        <w:numPr>
          <w:ilvl w:val="0"/>
          <w:numId w:val="26"/>
        </w:numPr>
        <w:shd w:val="clear" w:color="auto" w:fill="auto"/>
        <w:tabs>
          <w:tab w:val="left" w:pos="784"/>
        </w:tabs>
        <w:spacing w:before="100" w:beforeAutospacing="1" w:after="209" w:line="276" w:lineRule="auto"/>
        <w:ind w:left="820"/>
        <w:rPr>
          <w:b/>
          <w:bCs/>
          <w:color w:val="000000"/>
          <w:lang w:bidi="en-US"/>
        </w:rPr>
      </w:pPr>
      <w:r w:rsidRPr="00582889">
        <w:rPr>
          <w:b/>
          <w:bCs/>
          <w:color w:val="000000"/>
          <w:lang w:bidi="en-US"/>
        </w:rPr>
        <w:t>GENERAL PROCUREMENT RULES</w:t>
      </w:r>
    </w:p>
    <w:p w14:paraId="0E215884" w14:textId="1E4A44DA" w:rsidR="00582889" w:rsidRPr="00582889" w:rsidRDefault="00582889" w:rsidP="002038B7">
      <w:pPr>
        <w:pStyle w:val="Textodocorpo60"/>
        <w:numPr>
          <w:ilvl w:val="0"/>
          <w:numId w:val="41"/>
        </w:numPr>
        <w:shd w:val="clear" w:color="auto" w:fill="auto"/>
        <w:spacing w:before="240" w:after="197" w:line="276" w:lineRule="auto"/>
        <w:ind w:left="851" w:hanging="567"/>
        <w:rPr>
          <w:b/>
          <w:bCs/>
          <w:color w:val="000000"/>
          <w:lang w:bidi="en-US"/>
        </w:rPr>
      </w:pPr>
      <w:r w:rsidRPr="00582889">
        <w:rPr>
          <w:color w:val="000000"/>
          <w:lang w:bidi="en-US"/>
        </w:rPr>
        <w:t>The tender documents shall be drafted in accordance with best international practice. The Grant Recipient may voluntarily use the models published in the Practical Guide on the EuropeAid (EU) website.</w:t>
      </w:r>
    </w:p>
    <w:p w14:paraId="304D72FB" w14:textId="77777777" w:rsidR="00582889" w:rsidRPr="00582889" w:rsidRDefault="00582889" w:rsidP="002038B7">
      <w:pPr>
        <w:pStyle w:val="Textodocorpo60"/>
        <w:numPr>
          <w:ilvl w:val="0"/>
          <w:numId w:val="41"/>
        </w:numPr>
        <w:shd w:val="clear" w:color="auto" w:fill="auto"/>
        <w:spacing w:before="240" w:after="197" w:line="276" w:lineRule="auto"/>
        <w:ind w:left="851" w:hanging="567"/>
        <w:rPr>
          <w:color w:val="000000"/>
          <w:lang w:bidi="en-US"/>
        </w:rPr>
      </w:pPr>
      <w:r w:rsidRPr="00582889">
        <w:rPr>
          <w:color w:val="000000"/>
          <w:lang w:bidi="en-US"/>
        </w:rPr>
        <w:t>The Grant Recipient shall take into account universal design and the potential environmental impact of any planned procurements.</w:t>
      </w:r>
    </w:p>
    <w:p w14:paraId="2640D569" w14:textId="77777777" w:rsidR="00582889" w:rsidRPr="00582889" w:rsidRDefault="00582889" w:rsidP="002038B7">
      <w:pPr>
        <w:pStyle w:val="Textodocorpo60"/>
        <w:numPr>
          <w:ilvl w:val="0"/>
          <w:numId w:val="41"/>
        </w:numPr>
        <w:shd w:val="clear" w:color="auto" w:fill="auto"/>
        <w:spacing w:before="240" w:after="197" w:line="276" w:lineRule="auto"/>
        <w:ind w:left="851" w:hanging="567"/>
        <w:rPr>
          <w:color w:val="000000"/>
          <w:lang w:bidi="en-US"/>
        </w:rPr>
      </w:pPr>
      <w:r w:rsidRPr="00582889">
        <w:rPr>
          <w:color w:val="000000"/>
          <w:lang w:bidi="en-US"/>
        </w:rPr>
        <w:t xml:space="preserve">All invitations to submit tenders shall state that offers will be rejected if any illegal or corrupt </w:t>
      </w:r>
      <w:proofErr w:type="spellStart"/>
      <w:r w:rsidRPr="00582889">
        <w:rPr>
          <w:color w:val="000000"/>
          <w:lang w:bidi="en-US"/>
        </w:rPr>
        <w:t>practises</w:t>
      </w:r>
      <w:proofErr w:type="spellEnd"/>
      <w:r w:rsidRPr="00582889">
        <w:rPr>
          <w:color w:val="000000"/>
          <w:lang w:bidi="en-US"/>
        </w:rPr>
        <w:t xml:space="preserve"> have taken place in connection with the award. All contracts concluded under the Project shall state that the Grant Recipient may terminate the contract if it finds that illegal or corrupt </w:t>
      </w:r>
      <w:proofErr w:type="spellStart"/>
      <w:r w:rsidRPr="00582889">
        <w:rPr>
          <w:color w:val="000000"/>
          <w:lang w:bidi="en-US"/>
        </w:rPr>
        <w:t>practises</w:t>
      </w:r>
      <w:proofErr w:type="spellEnd"/>
      <w:r w:rsidRPr="00582889">
        <w:rPr>
          <w:color w:val="000000"/>
          <w:lang w:bidi="en-US"/>
        </w:rPr>
        <w:t xml:space="preserve"> have taken place in connection with the contract award or execution.</w:t>
      </w:r>
    </w:p>
    <w:p w14:paraId="2047E8E6" w14:textId="77777777" w:rsidR="00582889" w:rsidRPr="00582889" w:rsidRDefault="00582889" w:rsidP="002038B7">
      <w:pPr>
        <w:pStyle w:val="Textodocorpo60"/>
        <w:numPr>
          <w:ilvl w:val="0"/>
          <w:numId w:val="41"/>
        </w:numPr>
        <w:shd w:val="clear" w:color="auto" w:fill="auto"/>
        <w:spacing w:before="240" w:after="197" w:line="276" w:lineRule="auto"/>
        <w:ind w:left="851" w:hanging="567"/>
        <w:rPr>
          <w:color w:val="000000"/>
          <w:lang w:bidi="en-US"/>
        </w:rPr>
      </w:pPr>
      <w:r w:rsidRPr="00582889">
        <w:rPr>
          <w:color w:val="000000"/>
          <w:lang w:bidi="en-US"/>
        </w:rPr>
        <w:t>The time-limits for receipt of tenders and requests to participate must be sufficient to allow interested parties a reasonable and appropriate period to prepare and submit their tenders.</w:t>
      </w:r>
    </w:p>
    <w:p w14:paraId="01BE8B89" w14:textId="77777777" w:rsidR="00582889" w:rsidRPr="00582889" w:rsidRDefault="00582889" w:rsidP="002038B7">
      <w:pPr>
        <w:pStyle w:val="Textodocorpo60"/>
        <w:numPr>
          <w:ilvl w:val="0"/>
          <w:numId w:val="41"/>
        </w:numPr>
        <w:shd w:val="clear" w:color="auto" w:fill="auto"/>
        <w:spacing w:before="240" w:after="197" w:line="276" w:lineRule="auto"/>
        <w:ind w:left="851" w:hanging="567"/>
        <w:rPr>
          <w:color w:val="000000"/>
          <w:lang w:bidi="en-US"/>
        </w:rPr>
      </w:pPr>
      <w:r w:rsidRPr="00582889">
        <w:rPr>
          <w:color w:val="000000"/>
          <w:lang w:bidi="en-US"/>
        </w:rPr>
        <w:t>An evaluation committee must be set up to evaluate applications and/or tenders of a value of NOK 500 000 or more on the basis of the exclusion, selection and award criteria. This committee must have an odd number of members, at least three, with all the technical and administrative capacities necessary to give an informed opinion on the tenders.</w:t>
      </w:r>
    </w:p>
    <w:p w14:paraId="4323E570" w14:textId="77777777" w:rsidR="00582889" w:rsidRPr="00582889" w:rsidRDefault="00582889" w:rsidP="002038B7">
      <w:pPr>
        <w:pStyle w:val="Textodocorpo60"/>
        <w:numPr>
          <w:ilvl w:val="0"/>
          <w:numId w:val="41"/>
        </w:numPr>
        <w:shd w:val="clear" w:color="auto" w:fill="auto"/>
        <w:spacing w:before="240" w:after="197" w:line="276" w:lineRule="auto"/>
        <w:ind w:left="851" w:hanging="567"/>
        <w:rPr>
          <w:color w:val="000000"/>
          <w:lang w:bidi="en-US"/>
        </w:rPr>
      </w:pPr>
      <w:r w:rsidRPr="00582889">
        <w:rPr>
          <w:color w:val="000000"/>
          <w:lang w:bidi="en-US"/>
        </w:rPr>
        <w:t>For contracts with a value exceeding NOK 100 000, the Grant Recipient shall compile a written record with documentation of all assessments and decisions during all steps of the procurement process from the planning stage until the signing of the contract. Upon request by the MFA, the Grant Recipient shall deliver its written record to the MFA and grant the MFA access to all relevant information and documentation related to the procurement procedure and practices applied.</w:t>
      </w:r>
    </w:p>
    <w:p w14:paraId="5325DDCA" w14:textId="77777777" w:rsidR="00582889" w:rsidRPr="00582889" w:rsidRDefault="00582889" w:rsidP="002038B7">
      <w:pPr>
        <w:pStyle w:val="Ttulo530"/>
        <w:numPr>
          <w:ilvl w:val="0"/>
          <w:numId w:val="26"/>
        </w:numPr>
        <w:shd w:val="clear" w:color="auto" w:fill="auto"/>
        <w:tabs>
          <w:tab w:val="left" w:pos="784"/>
        </w:tabs>
        <w:spacing w:before="100" w:beforeAutospacing="1" w:after="209" w:line="276" w:lineRule="auto"/>
        <w:ind w:left="820"/>
        <w:rPr>
          <w:b/>
          <w:bCs/>
          <w:color w:val="000000"/>
          <w:lang w:bidi="en-US"/>
        </w:rPr>
      </w:pPr>
      <w:bookmarkStart w:id="26" w:name="bookmark28"/>
      <w:r w:rsidRPr="00582889">
        <w:rPr>
          <w:b/>
          <w:bCs/>
          <w:color w:val="000000"/>
          <w:lang w:bidi="en-US"/>
        </w:rPr>
        <w:t>AWARD OF CONTRACTS</w:t>
      </w:r>
      <w:bookmarkEnd w:id="26"/>
    </w:p>
    <w:p w14:paraId="6EBA81FF" w14:textId="77777777" w:rsidR="00582889" w:rsidRPr="00582889" w:rsidRDefault="00582889" w:rsidP="002038B7">
      <w:pPr>
        <w:numPr>
          <w:ilvl w:val="0"/>
          <w:numId w:val="34"/>
        </w:numPr>
        <w:spacing w:after="300" w:line="276" w:lineRule="auto"/>
        <w:ind w:left="851" w:hanging="580"/>
        <w:jc w:val="both"/>
        <w:rPr>
          <w:rFonts w:ascii="Times New Roman" w:hAnsi="Times New Roman" w:cs="Times New Roman"/>
          <w:sz w:val="21"/>
          <w:szCs w:val="21"/>
        </w:rPr>
      </w:pPr>
      <w:r w:rsidRPr="00582889">
        <w:rPr>
          <w:rFonts w:ascii="Times New Roman" w:hAnsi="Times New Roman" w:cs="Times New Roman"/>
          <w:sz w:val="21"/>
          <w:szCs w:val="21"/>
        </w:rPr>
        <w:t xml:space="preserve">Contracts with a value of less than NOK 500 000 may be awarded by using any procurement procedure established by the Grant Recipient, while respecting the rules and principles laid down in Sections 1 to 4 of this Part </w:t>
      </w:r>
      <w:r w:rsidRPr="00582889">
        <w:rPr>
          <w:rStyle w:val="Textodocorpo2Espaamento-1pt"/>
          <w:rFonts w:eastAsia="Microsoft Sans Serif"/>
        </w:rPr>
        <w:t>111.</w:t>
      </w:r>
    </w:p>
    <w:p w14:paraId="0419F7E5" w14:textId="77777777" w:rsidR="00582889" w:rsidRPr="00582889" w:rsidRDefault="00582889" w:rsidP="002038B7">
      <w:pPr>
        <w:numPr>
          <w:ilvl w:val="0"/>
          <w:numId w:val="34"/>
        </w:numPr>
        <w:spacing w:after="304" w:line="276" w:lineRule="auto"/>
        <w:ind w:left="851" w:hanging="580"/>
        <w:jc w:val="both"/>
        <w:rPr>
          <w:rFonts w:ascii="Times New Roman" w:hAnsi="Times New Roman" w:cs="Times New Roman"/>
          <w:sz w:val="21"/>
          <w:szCs w:val="21"/>
        </w:rPr>
      </w:pPr>
      <w:r w:rsidRPr="00582889">
        <w:rPr>
          <w:rFonts w:ascii="Times New Roman" w:hAnsi="Times New Roman" w:cs="Times New Roman"/>
          <w:sz w:val="21"/>
          <w:szCs w:val="21"/>
        </w:rPr>
        <w:t>Contracts with a value exceeding NOK 500 000 shall be awarded by means of one of the following procurement procedures;</w:t>
      </w:r>
    </w:p>
    <w:p w14:paraId="7347C12A" w14:textId="77777777" w:rsidR="00582889" w:rsidRPr="00582889" w:rsidRDefault="00582889" w:rsidP="002038B7">
      <w:pPr>
        <w:numPr>
          <w:ilvl w:val="0"/>
          <w:numId w:val="35"/>
        </w:numPr>
        <w:tabs>
          <w:tab w:val="left" w:pos="722"/>
        </w:tabs>
        <w:spacing w:after="296" w:line="276" w:lineRule="auto"/>
        <w:ind w:left="720" w:hanging="340"/>
        <w:jc w:val="both"/>
        <w:rPr>
          <w:rFonts w:ascii="Times New Roman" w:hAnsi="Times New Roman" w:cs="Times New Roman"/>
          <w:sz w:val="21"/>
          <w:szCs w:val="21"/>
        </w:rPr>
      </w:pPr>
      <w:r w:rsidRPr="002038B7">
        <w:rPr>
          <w:rFonts w:ascii="Times New Roman" w:hAnsi="Times New Roman" w:cs="Times New Roman"/>
          <w:b/>
          <w:bCs/>
          <w:sz w:val="21"/>
          <w:szCs w:val="21"/>
        </w:rPr>
        <w:t>Open tender procedure</w:t>
      </w:r>
      <w:r w:rsidRPr="00582889">
        <w:rPr>
          <w:rFonts w:ascii="Times New Roman" w:hAnsi="Times New Roman" w:cs="Times New Roman"/>
          <w:sz w:val="21"/>
          <w:szCs w:val="21"/>
        </w:rPr>
        <w:t>: In open procedures, any interested tenderer may submit a tender in response to a call for competition. The tender shall be accompanied by the information for qualitative selection as requested by the Gram Recipient.</w:t>
      </w:r>
    </w:p>
    <w:p w14:paraId="22CA5235" w14:textId="77777777" w:rsidR="00582889" w:rsidRPr="00582889" w:rsidRDefault="00582889" w:rsidP="002038B7">
      <w:pPr>
        <w:numPr>
          <w:ilvl w:val="0"/>
          <w:numId w:val="35"/>
        </w:numPr>
        <w:tabs>
          <w:tab w:val="left" w:pos="722"/>
        </w:tabs>
        <w:spacing w:after="300" w:line="276" w:lineRule="auto"/>
        <w:ind w:left="720" w:hanging="340"/>
        <w:jc w:val="both"/>
        <w:rPr>
          <w:rFonts w:ascii="Times New Roman" w:hAnsi="Times New Roman" w:cs="Times New Roman"/>
          <w:sz w:val="21"/>
          <w:szCs w:val="21"/>
        </w:rPr>
      </w:pPr>
      <w:r w:rsidRPr="002038B7">
        <w:rPr>
          <w:rFonts w:ascii="Times New Roman" w:hAnsi="Times New Roman" w:cs="Times New Roman"/>
          <w:b/>
          <w:bCs/>
          <w:sz w:val="21"/>
          <w:szCs w:val="21"/>
        </w:rPr>
        <w:t>Restricted procedure</w:t>
      </w:r>
      <w:r w:rsidRPr="00582889">
        <w:rPr>
          <w:rFonts w:ascii="Times New Roman" w:hAnsi="Times New Roman" w:cs="Times New Roman"/>
          <w:sz w:val="21"/>
          <w:szCs w:val="21"/>
        </w:rPr>
        <w:t>: In restricted procedures, any tenderer may submit a request to participate in response to a call for competition by providing the information for qualitative selection as requested by the Grant Recipient. Only those tenderers invited to do so by the Grant Recipient following its assessment of the information provided may submit a tender. The Grant Recipient may limit the number of suitable candidates to be invited to participate in the procedure.</w:t>
      </w:r>
    </w:p>
    <w:p w14:paraId="46C08F19" w14:textId="77777777" w:rsidR="00582889" w:rsidRPr="00582889" w:rsidRDefault="00582889" w:rsidP="002038B7">
      <w:pPr>
        <w:numPr>
          <w:ilvl w:val="0"/>
          <w:numId w:val="35"/>
        </w:numPr>
        <w:tabs>
          <w:tab w:val="left" w:pos="722"/>
        </w:tabs>
        <w:spacing w:after="300" w:line="276" w:lineRule="auto"/>
        <w:ind w:left="720" w:hanging="340"/>
        <w:jc w:val="both"/>
        <w:rPr>
          <w:rFonts w:ascii="Times New Roman" w:hAnsi="Times New Roman" w:cs="Times New Roman"/>
          <w:sz w:val="21"/>
          <w:szCs w:val="21"/>
        </w:rPr>
      </w:pPr>
      <w:r w:rsidRPr="002038B7">
        <w:rPr>
          <w:rFonts w:ascii="Times New Roman" w:hAnsi="Times New Roman" w:cs="Times New Roman"/>
          <w:b/>
          <w:bCs/>
          <w:sz w:val="21"/>
          <w:szCs w:val="21"/>
        </w:rPr>
        <w:t>Competitive procedure with negotiation</w:t>
      </w:r>
      <w:r w:rsidRPr="00582889">
        <w:rPr>
          <w:rFonts w:ascii="Times New Roman" w:hAnsi="Times New Roman" w:cs="Times New Roman"/>
          <w:sz w:val="21"/>
          <w:szCs w:val="21"/>
        </w:rPr>
        <w:t>: In competitive procedures with negotiation, any tenderer may submit a request to participate or a tender in response to a call for competition by providing the information for qualitative selection as requested by the Grant Recipient. Tenderers may submit an initial tender, which shall be the basis for subsequent negotiations. The minimum requirements and the award criteria shall not be subject to negotiations.</w:t>
      </w:r>
    </w:p>
    <w:p w14:paraId="643E95BC" w14:textId="77777777" w:rsidR="00582889" w:rsidRPr="00582889" w:rsidRDefault="00582889" w:rsidP="002038B7">
      <w:pPr>
        <w:numPr>
          <w:ilvl w:val="0"/>
          <w:numId w:val="34"/>
        </w:numPr>
        <w:spacing w:after="304" w:line="276" w:lineRule="auto"/>
        <w:ind w:left="851" w:hanging="567"/>
        <w:jc w:val="both"/>
        <w:rPr>
          <w:rFonts w:ascii="Times New Roman" w:hAnsi="Times New Roman" w:cs="Times New Roman"/>
          <w:sz w:val="21"/>
          <w:szCs w:val="21"/>
        </w:rPr>
      </w:pPr>
      <w:r w:rsidRPr="00582889">
        <w:rPr>
          <w:rFonts w:ascii="Times New Roman" w:hAnsi="Times New Roman" w:cs="Times New Roman"/>
          <w:sz w:val="21"/>
          <w:szCs w:val="21"/>
        </w:rPr>
        <w:t>Where the Grant Recipient does not launch an open tender procedure, it shall justify and document in writing the choice of tenderers that are invited to submit an offer.</w:t>
      </w:r>
    </w:p>
    <w:p w14:paraId="50033D77" w14:textId="77777777" w:rsidR="00582889" w:rsidRPr="00582889" w:rsidRDefault="00582889" w:rsidP="002038B7">
      <w:pPr>
        <w:numPr>
          <w:ilvl w:val="0"/>
          <w:numId w:val="34"/>
        </w:numPr>
        <w:spacing w:after="343" w:line="276" w:lineRule="auto"/>
        <w:ind w:left="851" w:hanging="567"/>
        <w:jc w:val="both"/>
        <w:rPr>
          <w:rFonts w:ascii="Times New Roman" w:hAnsi="Times New Roman" w:cs="Times New Roman"/>
          <w:sz w:val="21"/>
          <w:szCs w:val="21"/>
        </w:rPr>
      </w:pPr>
      <w:r w:rsidRPr="00582889">
        <w:rPr>
          <w:rFonts w:ascii="Times New Roman" w:hAnsi="Times New Roman" w:cs="Times New Roman"/>
          <w:sz w:val="21"/>
          <w:szCs w:val="21"/>
        </w:rPr>
        <w:t>Deviations from the procedures listed in Section 5.2 are limited to the situations listed in Section 7 of this Part III.</w:t>
      </w:r>
    </w:p>
    <w:p w14:paraId="2759D4D9" w14:textId="77777777" w:rsidR="00582889" w:rsidRPr="002038B7" w:rsidRDefault="00582889" w:rsidP="002038B7">
      <w:pPr>
        <w:pStyle w:val="Ttulo530"/>
        <w:numPr>
          <w:ilvl w:val="0"/>
          <w:numId w:val="26"/>
        </w:numPr>
        <w:shd w:val="clear" w:color="auto" w:fill="auto"/>
        <w:tabs>
          <w:tab w:val="left" w:pos="784"/>
        </w:tabs>
        <w:spacing w:before="100" w:beforeAutospacing="1" w:after="209" w:line="276" w:lineRule="auto"/>
        <w:ind w:left="820"/>
        <w:rPr>
          <w:b/>
          <w:bCs/>
          <w:color w:val="000000"/>
          <w:lang w:bidi="en-US"/>
        </w:rPr>
      </w:pPr>
      <w:bookmarkStart w:id="27" w:name="bookmark29"/>
      <w:r w:rsidRPr="002038B7">
        <w:rPr>
          <w:b/>
          <w:bCs/>
          <w:color w:val="000000"/>
          <w:lang w:bidi="en-US"/>
        </w:rPr>
        <w:t>PUBLICATION OF PROCUREMENT NOTICE</w:t>
      </w:r>
      <w:bookmarkEnd w:id="27"/>
    </w:p>
    <w:p w14:paraId="3C4761C6" w14:textId="0ED7B750" w:rsidR="00582889" w:rsidRPr="00582889" w:rsidRDefault="00582889" w:rsidP="002038B7">
      <w:pPr>
        <w:numPr>
          <w:ilvl w:val="0"/>
          <w:numId w:val="36"/>
        </w:numPr>
        <w:spacing w:line="276" w:lineRule="auto"/>
        <w:ind w:left="851" w:hanging="580"/>
        <w:jc w:val="both"/>
        <w:rPr>
          <w:rFonts w:ascii="Times New Roman" w:hAnsi="Times New Roman" w:cs="Times New Roman"/>
          <w:sz w:val="21"/>
          <w:szCs w:val="21"/>
        </w:rPr>
      </w:pPr>
      <w:r w:rsidRPr="00582889">
        <w:rPr>
          <w:rFonts w:ascii="Times New Roman" w:hAnsi="Times New Roman" w:cs="Times New Roman"/>
          <w:sz w:val="21"/>
          <w:szCs w:val="21"/>
        </w:rPr>
        <w:t>The following shall apply with respect to publication of the procurement notice;</w:t>
      </w:r>
      <w:r w:rsidR="002038B7">
        <w:rPr>
          <w:rStyle w:val="Refdenotaderodap"/>
          <w:rFonts w:ascii="Times New Roman" w:hAnsi="Times New Roman" w:cs="Times New Roman"/>
          <w:sz w:val="21"/>
          <w:szCs w:val="21"/>
        </w:rPr>
        <w:footnoteReference w:id="4"/>
      </w:r>
    </w:p>
    <w:p w14:paraId="352032C6" w14:textId="77777777" w:rsidR="00582889" w:rsidRPr="00582889" w:rsidRDefault="00582889" w:rsidP="002038B7">
      <w:pPr>
        <w:pStyle w:val="Textodocorpo60"/>
        <w:numPr>
          <w:ilvl w:val="0"/>
          <w:numId w:val="37"/>
        </w:numPr>
        <w:shd w:val="clear" w:color="auto" w:fill="auto"/>
        <w:tabs>
          <w:tab w:val="left" w:pos="821"/>
        </w:tabs>
        <w:spacing w:before="240" w:after="240" w:line="276" w:lineRule="auto"/>
        <w:ind w:left="840" w:hanging="340"/>
      </w:pPr>
      <w:r w:rsidRPr="00582889">
        <w:rPr>
          <w:rStyle w:val="Textodocorpo6Negrito"/>
        </w:rPr>
        <w:t>Service and supply contracts from NOK 500 000 to less than NOK 2 500 000 and works contracts from NOK 500 000 to less than NOK 40 000 000</w:t>
      </w:r>
    </w:p>
    <w:p w14:paraId="2F4897CB" w14:textId="77777777" w:rsidR="00582889" w:rsidRPr="00582889" w:rsidRDefault="00582889" w:rsidP="002038B7">
      <w:pPr>
        <w:spacing w:after="217" w:line="276" w:lineRule="auto"/>
        <w:ind w:left="840"/>
        <w:jc w:val="both"/>
        <w:rPr>
          <w:rFonts w:ascii="Times New Roman" w:hAnsi="Times New Roman" w:cs="Times New Roman"/>
          <w:sz w:val="21"/>
          <w:szCs w:val="21"/>
        </w:rPr>
      </w:pPr>
      <w:r w:rsidRPr="00582889">
        <w:rPr>
          <w:rFonts w:ascii="Times New Roman" w:hAnsi="Times New Roman" w:cs="Times New Roman"/>
          <w:sz w:val="21"/>
          <w:szCs w:val="21"/>
        </w:rPr>
        <w:t>The prior procurement notice shall be published in all appropriate media, at least in the country in which the Project will be carried out as well as on the Grant Recipient's website.</w:t>
      </w:r>
    </w:p>
    <w:p w14:paraId="0EF413A0" w14:textId="04A024E0" w:rsidR="00582889" w:rsidRPr="00582889" w:rsidRDefault="00582889" w:rsidP="002038B7">
      <w:pPr>
        <w:pStyle w:val="Textodocorpo30"/>
        <w:numPr>
          <w:ilvl w:val="0"/>
          <w:numId w:val="37"/>
        </w:numPr>
        <w:shd w:val="clear" w:color="auto" w:fill="auto"/>
        <w:tabs>
          <w:tab w:val="left" w:pos="834"/>
        </w:tabs>
        <w:spacing w:after="263" w:line="276" w:lineRule="auto"/>
        <w:ind w:left="840" w:hanging="340"/>
        <w:jc w:val="both"/>
      </w:pPr>
      <w:r w:rsidRPr="00582889">
        <w:rPr>
          <w:color w:val="000000"/>
          <w:lang w:bidi="en-US"/>
        </w:rPr>
        <w:t>Service and supply contracts with a value of NOK 2 500 000 and above and works contracts with a value of NOK 40 000 000 and above</w:t>
      </w:r>
    </w:p>
    <w:p w14:paraId="44A1A28A" w14:textId="77777777" w:rsidR="00582889" w:rsidRPr="00582889" w:rsidRDefault="00582889" w:rsidP="002038B7">
      <w:pPr>
        <w:spacing w:after="287" w:line="276" w:lineRule="auto"/>
        <w:ind w:left="840"/>
        <w:jc w:val="both"/>
        <w:rPr>
          <w:rFonts w:ascii="Times New Roman" w:hAnsi="Times New Roman" w:cs="Times New Roman"/>
          <w:sz w:val="21"/>
          <w:szCs w:val="21"/>
        </w:rPr>
      </w:pPr>
      <w:r w:rsidRPr="00582889">
        <w:rPr>
          <w:rFonts w:ascii="Times New Roman" w:hAnsi="Times New Roman" w:cs="Times New Roman"/>
          <w:sz w:val="21"/>
          <w:szCs w:val="21"/>
        </w:rPr>
        <w:t>The prior procurement notice shall be published in all appropriate media, in particular on the Grant Recipient's website, in the international press and the national press of the country in which the Project will be carried out, and in any other relevant specialist periodicals.</w:t>
      </w:r>
    </w:p>
    <w:p w14:paraId="07E55191" w14:textId="77777777" w:rsidR="00582889" w:rsidRPr="002038B7" w:rsidRDefault="00582889" w:rsidP="002038B7">
      <w:pPr>
        <w:pStyle w:val="Ttulo530"/>
        <w:numPr>
          <w:ilvl w:val="0"/>
          <w:numId w:val="26"/>
        </w:numPr>
        <w:shd w:val="clear" w:color="auto" w:fill="auto"/>
        <w:tabs>
          <w:tab w:val="left" w:pos="784"/>
        </w:tabs>
        <w:spacing w:before="100" w:beforeAutospacing="1" w:after="209" w:line="276" w:lineRule="auto"/>
        <w:ind w:left="820"/>
        <w:rPr>
          <w:b/>
          <w:bCs/>
        </w:rPr>
      </w:pPr>
      <w:r w:rsidRPr="002038B7">
        <w:rPr>
          <w:b/>
          <w:bCs/>
          <w:color w:val="000000"/>
          <w:lang w:bidi="en-US"/>
        </w:rPr>
        <w:t>USE OF NEGOTIATED PROCEDURE WITHOUT PRIOR PUBLICATION</w:t>
      </w:r>
    </w:p>
    <w:p w14:paraId="0376DB75" w14:textId="77777777" w:rsidR="00582889" w:rsidRPr="00582889" w:rsidRDefault="00582889" w:rsidP="002038B7">
      <w:pPr>
        <w:numPr>
          <w:ilvl w:val="0"/>
          <w:numId w:val="38"/>
        </w:numPr>
        <w:tabs>
          <w:tab w:val="left" w:pos="821"/>
        </w:tabs>
        <w:spacing w:after="304" w:line="276" w:lineRule="auto"/>
        <w:ind w:left="851" w:hanging="567"/>
        <w:jc w:val="both"/>
        <w:rPr>
          <w:rFonts w:ascii="Times New Roman" w:hAnsi="Times New Roman" w:cs="Times New Roman"/>
          <w:sz w:val="21"/>
          <w:szCs w:val="21"/>
        </w:rPr>
      </w:pPr>
      <w:r w:rsidRPr="00582889">
        <w:rPr>
          <w:rFonts w:ascii="Times New Roman" w:hAnsi="Times New Roman" w:cs="Times New Roman"/>
          <w:sz w:val="21"/>
          <w:szCs w:val="21"/>
        </w:rPr>
        <w:t>The Grant Recipient may use a negotiated procedure without prior publication in the following cases:</w:t>
      </w:r>
    </w:p>
    <w:p w14:paraId="01CDB854" w14:textId="77777777" w:rsidR="00582889" w:rsidRPr="00582889" w:rsidRDefault="00582889" w:rsidP="002038B7">
      <w:pPr>
        <w:numPr>
          <w:ilvl w:val="0"/>
          <w:numId w:val="39"/>
        </w:numPr>
        <w:spacing w:after="256" w:line="276" w:lineRule="auto"/>
        <w:ind w:left="851" w:hanging="284"/>
        <w:jc w:val="both"/>
        <w:rPr>
          <w:rFonts w:ascii="Times New Roman" w:hAnsi="Times New Roman" w:cs="Times New Roman"/>
          <w:sz w:val="21"/>
          <w:szCs w:val="21"/>
        </w:rPr>
      </w:pPr>
      <w:r w:rsidRPr="00582889">
        <w:rPr>
          <w:rFonts w:ascii="Times New Roman" w:hAnsi="Times New Roman" w:cs="Times New Roman"/>
          <w:sz w:val="21"/>
          <w:szCs w:val="21"/>
        </w:rPr>
        <w:t>if any of the circumstances set out in Article 32 of Directive 2014/24/EU are present;</w:t>
      </w:r>
    </w:p>
    <w:p w14:paraId="4C25110F" w14:textId="77777777" w:rsidR="00582889" w:rsidRPr="00582889" w:rsidRDefault="00582889" w:rsidP="002038B7">
      <w:pPr>
        <w:numPr>
          <w:ilvl w:val="0"/>
          <w:numId w:val="39"/>
        </w:numPr>
        <w:spacing w:after="236" w:line="276" w:lineRule="auto"/>
        <w:ind w:left="851" w:hanging="284"/>
        <w:jc w:val="both"/>
        <w:rPr>
          <w:rFonts w:ascii="Times New Roman" w:hAnsi="Times New Roman" w:cs="Times New Roman"/>
          <w:sz w:val="21"/>
          <w:szCs w:val="21"/>
        </w:rPr>
      </w:pPr>
      <w:r w:rsidRPr="00582889">
        <w:rPr>
          <w:rFonts w:ascii="Times New Roman" w:hAnsi="Times New Roman" w:cs="Times New Roman"/>
          <w:sz w:val="21"/>
          <w:szCs w:val="21"/>
        </w:rPr>
        <w:t xml:space="preserve">for purposes of humanitarian aid and civil protection operations or for crisis management aid in a crisis that has been formally </w:t>
      </w:r>
      <w:proofErr w:type="spellStart"/>
      <w:r w:rsidRPr="00582889">
        <w:rPr>
          <w:rFonts w:ascii="Times New Roman" w:hAnsi="Times New Roman" w:cs="Times New Roman"/>
          <w:sz w:val="21"/>
          <w:szCs w:val="21"/>
        </w:rPr>
        <w:t>recognised</w:t>
      </w:r>
      <w:proofErr w:type="spellEnd"/>
      <w:r w:rsidRPr="00582889">
        <w:rPr>
          <w:rFonts w:ascii="Times New Roman" w:hAnsi="Times New Roman" w:cs="Times New Roman"/>
          <w:sz w:val="21"/>
          <w:szCs w:val="21"/>
        </w:rPr>
        <w:t xml:space="preserve"> by and for the time period declared by the MFA;</w:t>
      </w:r>
    </w:p>
    <w:p w14:paraId="450C3C2D" w14:textId="77777777" w:rsidR="00582889" w:rsidRPr="00582889" w:rsidRDefault="00582889" w:rsidP="002038B7">
      <w:pPr>
        <w:numPr>
          <w:ilvl w:val="0"/>
          <w:numId w:val="39"/>
        </w:numPr>
        <w:spacing w:after="240" w:line="276" w:lineRule="auto"/>
        <w:ind w:left="851" w:hanging="284"/>
        <w:jc w:val="both"/>
        <w:rPr>
          <w:rFonts w:ascii="Times New Roman" w:hAnsi="Times New Roman" w:cs="Times New Roman"/>
          <w:sz w:val="21"/>
          <w:szCs w:val="21"/>
        </w:rPr>
      </w:pPr>
      <w:r w:rsidRPr="00582889">
        <w:rPr>
          <w:rFonts w:ascii="Times New Roman" w:hAnsi="Times New Roman" w:cs="Times New Roman"/>
          <w:sz w:val="21"/>
          <w:szCs w:val="21"/>
        </w:rPr>
        <w:t>where the services are entrusted to public-sector or non-profit bodies and relate to activities of an institutional nature or are designed to provide assistance to people in the social field;</w:t>
      </w:r>
    </w:p>
    <w:p w14:paraId="016D5F05" w14:textId="77777777" w:rsidR="00582889" w:rsidRPr="00582889" w:rsidRDefault="00582889" w:rsidP="002038B7">
      <w:pPr>
        <w:numPr>
          <w:ilvl w:val="0"/>
          <w:numId w:val="39"/>
        </w:numPr>
        <w:spacing w:line="276" w:lineRule="auto"/>
        <w:ind w:left="851" w:hanging="284"/>
        <w:jc w:val="both"/>
        <w:rPr>
          <w:rFonts w:ascii="Times New Roman" w:hAnsi="Times New Roman" w:cs="Times New Roman"/>
          <w:sz w:val="21"/>
          <w:szCs w:val="21"/>
        </w:rPr>
      </w:pPr>
      <w:r w:rsidRPr="00582889">
        <w:rPr>
          <w:rFonts w:ascii="Times New Roman" w:hAnsi="Times New Roman" w:cs="Times New Roman"/>
          <w:sz w:val="21"/>
          <w:szCs w:val="21"/>
        </w:rPr>
        <w:t xml:space="preserve">for contracts declared to be secret, or whose performance must be accompanied by special security measures, or when the protection of the </w:t>
      </w:r>
      <w:proofErr w:type="spellStart"/>
      <w:r w:rsidRPr="00582889">
        <w:rPr>
          <w:rFonts w:ascii="Times New Roman" w:hAnsi="Times New Roman" w:cs="Times New Roman"/>
          <w:sz w:val="21"/>
          <w:szCs w:val="21"/>
        </w:rPr>
        <w:t>essentia</w:t>
      </w:r>
      <w:proofErr w:type="spellEnd"/>
      <w:r w:rsidRPr="00582889">
        <w:rPr>
          <w:rFonts w:ascii="Times New Roman" w:hAnsi="Times New Roman" w:cs="Times New Roman"/>
          <w:sz w:val="21"/>
          <w:szCs w:val="21"/>
        </w:rPr>
        <w:t>) interests of the MFA so requires.</w:t>
      </w:r>
    </w:p>
    <w:p w14:paraId="51813D2E" w14:textId="77777777" w:rsidR="00582889" w:rsidRPr="00582889" w:rsidRDefault="00582889" w:rsidP="002038B7">
      <w:pPr>
        <w:spacing w:line="276" w:lineRule="auto"/>
        <w:jc w:val="both"/>
        <w:rPr>
          <w:rFonts w:ascii="Times New Roman" w:hAnsi="Times New Roman" w:cs="Times New Roman"/>
          <w:sz w:val="21"/>
          <w:szCs w:val="21"/>
        </w:rPr>
      </w:pPr>
    </w:p>
    <w:sectPr w:rsidR="00582889" w:rsidRPr="00582889" w:rsidSect="002038B7">
      <w:headerReference w:type="default" r:id="rId10"/>
      <w:headerReference w:type="first" r:id="rId11"/>
      <w:footerReference w:type="first" r:id="rId12"/>
      <w:footnotePr>
        <w:numRestart w:val="eachSect"/>
      </w:footnotePr>
      <w:pgSz w:w="11907" w:h="16840" w:code="9"/>
      <w:pgMar w:top="1843" w:right="1701" w:bottom="2127" w:left="1134" w:header="1871" w:footer="158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69873" w14:textId="77777777" w:rsidR="00C85D57" w:rsidRDefault="00C85D57" w:rsidP="00B00A3D">
      <w:r>
        <w:separator/>
      </w:r>
    </w:p>
  </w:endnote>
  <w:endnote w:type="continuationSeparator" w:id="0">
    <w:p w14:paraId="57798CC3" w14:textId="77777777" w:rsidR="00C85D57" w:rsidRDefault="00C85D57" w:rsidP="00B00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F4EB" w14:textId="595D58CA" w:rsidR="006C3DE2" w:rsidRPr="006C3DE2" w:rsidRDefault="006C3DE2" w:rsidP="006C3DE2">
    <w:pPr>
      <w:pStyle w:val="Rodap"/>
      <w:jc w:val="center"/>
      <w:rPr>
        <w:rFonts w:ascii="Times New Roman" w:hAnsi="Times New Roman" w:cs="Times New Roman"/>
        <w:sz w:val="21"/>
        <w:szCs w:val="21"/>
      </w:rPr>
    </w:pPr>
    <w:r w:rsidRPr="006C3DE2">
      <w:rPr>
        <w:rFonts w:ascii="Times New Roman" w:hAnsi="Times New Roman" w:cs="Times New Roman"/>
        <w:sz w:val="21"/>
        <w:szCs w:val="21"/>
      </w:rPr>
      <w:t xml:space="preserve">Page </w:t>
    </w:r>
    <w:sdt>
      <w:sdtPr>
        <w:rPr>
          <w:rFonts w:ascii="Times New Roman" w:hAnsi="Times New Roman" w:cs="Times New Roman"/>
          <w:sz w:val="21"/>
          <w:szCs w:val="21"/>
        </w:rPr>
        <w:id w:val="1042637369"/>
        <w:docPartObj>
          <w:docPartGallery w:val="Page Numbers (Bottom of Page)"/>
          <w:docPartUnique/>
        </w:docPartObj>
      </w:sdtPr>
      <w:sdtContent>
        <w:r w:rsidRPr="006C3DE2">
          <w:rPr>
            <w:rFonts w:ascii="Times New Roman" w:hAnsi="Times New Roman" w:cs="Times New Roman"/>
            <w:b/>
            <w:bCs/>
            <w:sz w:val="21"/>
            <w:szCs w:val="21"/>
          </w:rPr>
          <w:fldChar w:fldCharType="begin"/>
        </w:r>
        <w:r w:rsidRPr="006C3DE2">
          <w:rPr>
            <w:rFonts w:ascii="Times New Roman" w:hAnsi="Times New Roman" w:cs="Times New Roman"/>
            <w:b/>
            <w:bCs/>
            <w:sz w:val="21"/>
            <w:szCs w:val="21"/>
          </w:rPr>
          <w:instrText>PAGE   \* MERGEFORMAT</w:instrText>
        </w:r>
        <w:r w:rsidRPr="006C3DE2">
          <w:rPr>
            <w:rFonts w:ascii="Times New Roman" w:hAnsi="Times New Roman" w:cs="Times New Roman"/>
            <w:b/>
            <w:bCs/>
            <w:sz w:val="21"/>
            <w:szCs w:val="21"/>
          </w:rPr>
          <w:fldChar w:fldCharType="separate"/>
        </w:r>
        <w:r w:rsidRPr="006C3DE2">
          <w:rPr>
            <w:rFonts w:ascii="Times New Roman" w:hAnsi="Times New Roman" w:cs="Times New Roman"/>
            <w:b/>
            <w:bCs/>
            <w:sz w:val="21"/>
            <w:szCs w:val="21"/>
          </w:rPr>
          <w:t>2</w:t>
        </w:r>
        <w:r w:rsidRPr="006C3DE2">
          <w:rPr>
            <w:rFonts w:ascii="Times New Roman" w:hAnsi="Times New Roman" w:cs="Times New Roman"/>
            <w:b/>
            <w:bCs/>
            <w:sz w:val="21"/>
            <w:szCs w:val="21"/>
          </w:rPr>
          <w:fldChar w:fldCharType="end"/>
        </w:r>
      </w:sdtContent>
    </w:sdt>
    <w:r w:rsidRPr="006C3DE2">
      <w:rPr>
        <w:rFonts w:ascii="Times New Roman" w:hAnsi="Times New Roman" w:cs="Times New Roman"/>
        <w:sz w:val="21"/>
        <w:szCs w:val="21"/>
      </w:rPr>
      <w:t xml:space="preserve"> of </w:t>
    </w:r>
    <w:r w:rsidR="002038B7">
      <w:rPr>
        <w:rFonts w:ascii="Times New Roman" w:hAnsi="Times New Roman" w:cs="Times New Roman"/>
        <w:sz w:val="21"/>
        <w:szCs w:val="21"/>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B158" w14:textId="6AA8B502" w:rsidR="00B00A3D" w:rsidRPr="00B00A3D" w:rsidRDefault="00B00A3D" w:rsidP="00B00A3D">
    <w:pPr>
      <w:pStyle w:val="Rodap"/>
      <w:jc w:val="center"/>
      <w:rPr>
        <w:rFonts w:ascii="Times New Roman" w:hAnsi="Times New Roman" w:cs="Times New Roman"/>
      </w:rPr>
    </w:pPr>
    <w:r w:rsidRPr="00B00A3D">
      <w:rPr>
        <w:rFonts w:ascii="Times New Roman" w:hAnsi="Times New Roman" w:cs="Times New Roman"/>
      </w:rPr>
      <w:t xml:space="preserve">Page </w:t>
    </w:r>
    <w:sdt>
      <w:sdtPr>
        <w:rPr>
          <w:rFonts w:ascii="Times New Roman" w:hAnsi="Times New Roman" w:cs="Times New Roman"/>
        </w:rPr>
        <w:id w:val="312836735"/>
        <w:docPartObj>
          <w:docPartGallery w:val="Page Numbers (Bottom of Page)"/>
          <w:docPartUnique/>
        </w:docPartObj>
      </w:sdtPr>
      <w:sdtContent>
        <w:r w:rsidRPr="00B00A3D">
          <w:rPr>
            <w:rFonts w:ascii="Times New Roman" w:hAnsi="Times New Roman" w:cs="Times New Roman"/>
            <w:b/>
            <w:bCs/>
          </w:rPr>
          <w:fldChar w:fldCharType="begin"/>
        </w:r>
        <w:r w:rsidRPr="00B00A3D">
          <w:rPr>
            <w:rFonts w:ascii="Times New Roman" w:hAnsi="Times New Roman" w:cs="Times New Roman"/>
            <w:b/>
            <w:bCs/>
          </w:rPr>
          <w:instrText>PAGE   \* MERGEFORMAT</w:instrText>
        </w:r>
        <w:r w:rsidRPr="00B00A3D">
          <w:rPr>
            <w:rFonts w:ascii="Times New Roman" w:hAnsi="Times New Roman" w:cs="Times New Roman"/>
            <w:b/>
            <w:bCs/>
          </w:rPr>
          <w:fldChar w:fldCharType="separate"/>
        </w:r>
        <w:r>
          <w:rPr>
            <w:rFonts w:ascii="Times New Roman" w:hAnsi="Times New Roman" w:cs="Times New Roman"/>
            <w:b/>
            <w:bCs/>
          </w:rPr>
          <w:t>1</w:t>
        </w:r>
        <w:r w:rsidRPr="00B00A3D">
          <w:rPr>
            <w:rFonts w:ascii="Times New Roman" w:hAnsi="Times New Roman" w:cs="Times New Roman"/>
            <w:b/>
            <w:bCs/>
          </w:rPr>
          <w:fldChar w:fldCharType="end"/>
        </w:r>
      </w:sdtContent>
    </w:sdt>
    <w:r w:rsidRPr="00B00A3D">
      <w:rPr>
        <w:rFonts w:ascii="Times New Roman" w:hAnsi="Times New Roman" w:cs="Times New Roman"/>
      </w:rPr>
      <w:t xml:space="preserve"> of </w:t>
    </w:r>
    <w:r w:rsidRPr="00B00A3D">
      <w:rPr>
        <w:rFonts w:ascii="Times New Roman" w:hAnsi="Times New Roman" w:cs="Times New Roman"/>
        <w:b/>
        <w:bCs/>
      </w:rPr>
      <w:t>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0B04" w14:textId="593C0C0F" w:rsidR="00582889" w:rsidRPr="00582889" w:rsidRDefault="00582889" w:rsidP="00B00A3D">
    <w:pPr>
      <w:pStyle w:val="Rodap"/>
      <w:jc w:val="center"/>
      <w:rPr>
        <w:rFonts w:ascii="Times New Roman" w:hAnsi="Times New Roman" w:cs="Times New Roman"/>
        <w:sz w:val="21"/>
        <w:szCs w:val="21"/>
      </w:rPr>
    </w:pPr>
    <w:r w:rsidRPr="00582889">
      <w:rPr>
        <w:rFonts w:ascii="Times New Roman" w:hAnsi="Times New Roman" w:cs="Times New Roman"/>
        <w:sz w:val="21"/>
        <w:szCs w:val="21"/>
      </w:rPr>
      <w:t xml:space="preserve">Page </w:t>
    </w:r>
    <w:sdt>
      <w:sdtPr>
        <w:rPr>
          <w:rFonts w:ascii="Times New Roman" w:hAnsi="Times New Roman" w:cs="Times New Roman"/>
          <w:sz w:val="21"/>
          <w:szCs w:val="21"/>
        </w:rPr>
        <w:id w:val="-2022927365"/>
        <w:docPartObj>
          <w:docPartGallery w:val="Page Numbers (Bottom of Page)"/>
          <w:docPartUnique/>
        </w:docPartObj>
      </w:sdtPr>
      <w:sdtContent>
        <w:r w:rsidRPr="00582889">
          <w:rPr>
            <w:rFonts w:ascii="Times New Roman" w:hAnsi="Times New Roman" w:cs="Times New Roman"/>
            <w:b/>
            <w:bCs/>
            <w:sz w:val="21"/>
            <w:szCs w:val="21"/>
          </w:rPr>
          <w:fldChar w:fldCharType="begin"/>
        </w:r>
        <w:r w:rsidRPr="00582889">
          <w:rPr>
            <w:rFonts w:ascii="Times New Roman" w:hAnsi="Times New Roman" w:cs="Times New Roman"/>
            <w:b/>
            <w:bCs/>
            <w:sz w:val="21"/>
            <w:szCs w:val="21"/>
          </w:rPr>
          <w:instrText>PAGE   \* MERGEFORMAT</w:instrText>
        </w:r>
        <w:r w:rsidRPr="00582889">
          <w:rPr>
            <w:rFonts w:ascii="Times New Roman" w:hAnsi="Times New Roman" w:cs="Times New Roman"/>
            <w:b/>
            <w:bCs/>
            <w:sz w:val="21"/>
            <w:szCs w:val="21"/>
          </w:rPr>
          <w:fldChar w:fldCharType="separate"/>
        </w:r>
        <w:r w:rsidRPr="00582889">
          <w:rPr>
            <w:rFonts w:ascii="Times New Roman" w:hAnsi="Times New Roman" w:cs="Times New Roman"/>
            <w:b/>
            <w:bCs/>
            <w:sz w:val="21"/>
            <w:szCs w:val="21"/>
          </w:rPr>
          <w:t>1</w:t>
        </w:r>
        <w:r w:rsidRPr="00582889">
          <w:rPr>
            <w:rFonts w:ascii="Times New Roman" w:hAnsi="Times New Roman" w:cs="Times New Roman"/>
            <w:b/>
            <w:bCs/>
            <w:sz w:val="21"/>
            <w:szCs w:val="21"/>
          </w:rPr>
          <w:fldChar w:fldCharType="end"/>
        </w:r>
      </w:sdtContent>
    </w:sdt>
    <w:r w:rsidRPr="00582889">
      <w:rPr>
        <w:rFonts w:ascii="Times New Roman" w:hAnsi="Times New Roman" w:cs="Times New Roman"/>
        <w:sz w:val="21"/>
        <w:szCs w:val="21"/>
      </w:rPr>
      <w:t xml:space="preserve"> of </w:t>
    </w:r>
    <w:r>
      <w:rPr>
        <w:rFonts w:ascii="Times New Roman" w:hAnsi="Times New Roman" w:cs="Times New Roman"/>
        <w:b/>
        <w:bCs/>
        <w:sz w:val="21"/>
        <w:szCs w:val="21"/>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28737" w14:textId="77777777" w:rsidR="00C85D57" w:rsidRDefault="00C85D57" w:rsidP="00B00A3D">
      <w:r>
        <w:separator/>
      </w:r>
    </w:p>
  </w:footnote>
  <w:footnote w:type="continuationSeparator" w:id="0">
    <w:p w14:paraId="2EFF392C" w14:textId="77777777" w:rsidR="00C85D57" w:rsidRDefault="00C85D57" w:rsidP="00B00A3D">
      <w:r>
        <w:continuationSeparator/>
      </w:r>
    </w:p>
  </w:footnote>
  <w:footnote w:id="1">
    <w:p w14:paraId="56AE47C3" w14:textId="7D4A4BD8" w:rsidR="006C3DE2" w:rsidRPr="006C3DE2" w:rsidRDefault="006C3DE2">
      <w:pPr>
        <w:pStyle w:val="Textodenotaderodap"/>
      </w:pPr>
      <w:r>
        <w:rPr>
          <w:rStyle w:val="Refdenotaderodap"/>
        </w:rPr>
        <w:footnoteRef/>
      </w:r>
      <w:r w:rsidRPr="006C3DE2">
        <w:rPr>
          <w:rFonts w:ascii="Times New Roman" w:hAnsi="Times New Roman" w:cs="Times New Roman"/>
          <w:sz w:val="21"/>
          <w:szCs w:val="21"/>
        </w:rPr>
        <w:t xml:space="preserve"> A double-entry bookkeeping a system is system of bookkeeping where every entry to an account requires a corresponding and opposite entry to a different account.</w:t>
      </w:r>
    </w:p>
  </w:footnote>
  <w:footnote w:id="2">
    <w:p w14:paraId="0EFD8C65" w14:textId="599BF454" w:rsidR="006C3DE2" w:rsidRPr="006C3DE2" w:rsidRDefault="006C3DE2" w:rsidP="006C3DE2">
      <w:pPr>
        <w:pStyle w:val="Textodenotaderodap"/>
        <w:jc w:val="both"/>
        <w:rPr>
          <w:rFonts w:ascii="Times New Roman" w:hAnsi="Times New Roman" w:cs="Times New Roman"/>
          <w:sz w:val="21"/>
          <w:szCs w:val="21"/>
        </w:rPr>
      </w:pPr>
      <w:r w:rsidRPr="006C3DE2">
        <w:rPr>
          <w:rStyle w:val="Refdenotaderodap"/>
          <w:rFonts w:ascii="Times New Roman" w:hAnsi="Times New Roman" w:cs="Times New Roman"/>
          <w:sz w:val="21"/>
          <w:szCs w:val="21"/>
        </w:rPr>
        <w:footnoteRef/>
      </w:r>
      <w:r w:rsidRPr="006C3DE2">
        <w:rPr>
          <w:rFonts w:ascii="Times New Roman" w:hAnsi="Times New Roman" w:cs="Times New Roman"/>
          <w:sz w:val="21"/>
          <w:szCs w:val="21"/>
        </w:rPr>
        <w:t xml:space="preserve"> Bank reconciliation is a process of verifying whether the sum found in the bank statements at the end of the period correspond with transactions recorded in the accounting system. This is usually done in conjunction with closure of the accounting records.</w:t>
      </w:r>
    </w:p>
  </w:footnote>
  <w:footnote w:id="3">
    <w:p w14:paraId="03B1AFB3" w14:textId="56DE878E" w:rsidR="006C3DE2" w:rsidRPr="006C3DE2" w:rsidRDefault="006C3DE2" w:rsidP="006C3DE2">
      <w:pPr>
        <w:pStyle w:val="Textodenotaderodap"/>
        <w:jc w:val="both"/>
      </w:pPr>
      <w:r w:rsidRPr="006C3DE2">
        <w:rPr>
          <w:rStyle w:val="Refdenotaderodap"/>
          <w:rFonts w:ascii="Times New Roman" w:hAnsi="Times New Roman" w:cs="Times New Roman"/>
          <w:sz w:val="21"/>
          <w:szCs w:val="21"/>
        </w:rPr>
        <w:footnoteRef/>
      </w:r>
      <w:r w:rsidRPr="006C3DE2">
        <w:rPr>
          <w:rFonts w:ascii="Times New Roman" w:hAnsi="Times New Roman" w:cs="Times New Roman"/>
          <w:sz w:val="21"/>
          <w:szCs w:val="21"/>
        </w:rPr>
        <w:t xml:space="preserve"> Cash reconciliation is a process of verifying whether the cash at hand at the end of the period corresponds with the amount of cash in the beginning of the period and the registrations of withdrawals and deposits in the period. This is usually done in conjunction with closure of the accounting records.</w:t>
      </w:r>
    </w:p>
  </w:footnote>
  <w:footnote w:id="4">
    <w:p w14:paraId="346A5178" w14:textId="15EDAED1" w:rsidR="002038B7" w:rsidRPr="002038B7" w:rsidRDefault="002038B7">
      <w:pPr>
        <w:pStyle w:val="Textodenotaderodap"/>
        <w:rPr>
          <w:rFonts w:ascii="Times New Roman" w:hAnsi="Times New Roman" w:cs="Times New Roman"/>
        </w:rPr>
      </w:pPr>
      <w:r w:rsidRPr="002038B7">
        <w:rPr>
          <w:rStyle w:val="Refdenotaderodap"/>
          <w:rFonts w:ascii="Times New Roman" w:hAnsi="Times New Roman" w:cs="Times New Roman"/>
        </w:rPr>
        <w:footnoteRef/>
      </w:r>
      <w:r w:rsidRPr="002038B7">
        <w:rPr>
          <w:rFonts w:ascii="Times New Roman" w:hAnsi="Times New Roman" w:cs="Times New Roman"/>
        </w:rPr>
        <w:t xml:space="preserve"> Definitions of different types of conn-acts and procedures can be found in Directive 2014/24/E</w:t>
      </w:r>
      <w:r>
        <w:rPr>
          <w:rFonts w:ascii="Times New Roman" w:hAnsi="Times New Roman" w:cs="Times New Roman"/>
        </w:rPr>
        <w:t>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10" w:type="dxa"/>
        <w:right w:w="10" w:type="dxa"/>
      </w:tblCellMar>
      <w:tblLook w:val="04A0" w:firstRow="1" w:lastRow="0" w:firstColumn="1" w:lastColumn="0" w:noHBand="0" w:noVBand="1"/>
    </w:tblPr>
    <w:tblGrid>
      <w:gridCol w:w="2352"/>
      <w:gridCol w:w="4248"/>
      <w:gridCol w:w="1330"/>
      <w:gridCol w:w="1075"/>
    </w:tblGrid>
    <w:tr w:rsidR="002038B7" w:rsidRPr="00582889" w14:paraId="2E922C5D" w14:textId="77777777" w:rsidTr="00115254">
      <w:trPr>
        <w:trHeight w:hRule="exact" w:val="259"/>
        <w:jc w:val="center"/>
      </w:trPr>
      <w:tc>
        <w:tcPr>
          <w:tcW w:w="2352" w:type="dxa"/>
          <w:tcBorders>
            <w:top w:val="single" w:sz="4" w:space="0" w:color="auto"/>
            <w:left w:val="single" w:sz="4" w:space="0" w:color="auto"/>
          </w:tcBorders>
          <w:shd w:val="clear" w:color="auto" w:fill="FFFFFF"/>
          <w:vAlign w:val="bottom"/>
        </w:tcPr>
        <w:p w14:paraId="7E7DA629" w14:textId="77777777" w:rsidR="002038B7" w:rsidRPr="00582889" w:rsidRDefault="002038B7" w:rsidP="002038B7">
          <w:pPr>
            <w:ind w:left="115"/>
            <w:rPr>
              <w:rFonts w:ascii="Times New Roman" w:hAnsi="Times New Roman" w:cs="Times New Roman"/>
              <w:sz w:val="21"/>
              <w:szCs w:val="21"/>
            </w:rPr>
          </w:pPr>
          <w:r w:rsidRPr="00582889">
            <w:rPr>
              <w:rFonts w:ascii="Times New Roman" w:hAnsi="Times New Roman" w:cs="Times New Roman"/>
              <w:sz w:val="21"/>
              <w:szCs w:val="21"/>
            </w:rPr>
            <w:t>Standard:</w:t>
          </w:r>
        </w:p>
      </w:tc>
      <w:tc>
        <w:tcPr>
          <w:tcW w:w="4248" w:type="dxa"/>
          <w:tcBorders>
            <w:top w:val="single" w:sz="4" w:space="0" w:color="auto"/>
            <w:left w:val="single" w:sz="4" w:space="0" w:color="auto"/>
          </w:tcBorders>
          <w:shd w:val="clear" w:color="auto" w:fill="FFFFFF"/>
          <w:vAlign w:val="bottom"/>
        </w:tcPr>
        <w:p w14:paraId="355C64C9" w14:textId="77777777" w:rsidR="002038B7" w:rsidRPr="00582889" w:rsidRDefault="002038B7" w:rsidP="002038B7">
          <w:pPr>
            <w:ind w:left="115"/>
            <w:rPr>
              <w:rFonts w:ascii="Times New Roman" w:hAnsi="Times New Roman" w:cs="Times New Roman"/>
              <w:b/>
              <w:bCs/>
              <w:sz w:val="21"/>
              <w:szCs w:val="21"/>
            </w:rPr>
          </w:pPr>
          <w:r w:rsidRPr="00582889">
            <w:rPr>
              <w:rFonts w:ascii="Times New Roman" w:hAnsi="Times New Roman" w:cs="Times New Roman"/>
              <w:b/>
              <w:bCs/>
              <w:sz w:val="21"/>
              <w:szCs w:val="21"/>
            </w:rPr>
            <w:t>Norwegian and Non-Norwegian NGOs</w:t>
          </w:r>
        </w:p>
      </w:tc>
      <w:tc>
        <w:tcPr>
          <w:tcW w:w="1330" w:type="dxa"/>
          <w:tcBorders>
            <w:top w:val="single" w:sz="4" w:space="0" w:color="auto"/>
            <w:left w:val="single" w:sz="4" w:space="0" w:color="auto"/>
          </w:tcBorders>
          <w:shd w:val="clear" w:color="auto" w:fill="FFFFFF"/>
          <w:vAlign w:val="bottom"/>
        </w:tcPr>
        <w:p w14:paraId="34935075" w14:textId="77777777" w:rsidR="002038B7" w:rsidRPr="00582889" w:rsidRDefault="002038B7" w:rsidP="002038B7">
          <w:pPr>
            <w:ind w:left="115"/>
            <w:rPr>
              <w:rFonts w:ascii="Times New Roman" w:hAnsi="Times New Roman" w:cs="Times New Roman"/>
              <w:sz w:val="21"/>
              <w:szCs w:val="21"/>
            </w:rPr>
          </w:pPr>
          <w:r w:rsidRPr="00582889">
            <w:rPr>
              <w:rFonts w:ascii="Times New Roman" w:hAnsi="Times New Roman" w:cs="Times New Roman"/>
              <w:sz w:val="21"/>
              <w:szCs w:val="21"/>
            </w:rPr>
            <w:t>Revision no:.</w:t>
          </w:r>
        </w:p>
      </w:tc>
      <w:tc>
        <w:tcPr>
          <w:tcW w:w="1075" w:type="dxa"/>
          <w:tcBorders>
            <w:top w:val="single" w:sz="4" w:space="0" w:color="auto"/>
            <w:left w:val="single" w:sz="4" w:space="0" w:color="auto"/>
            <w:right w:val="single" w:sz="4" w:space="0" w:color="auto"/>
          </w:tcBorders>
          <w:shd w:val="clear" w:color="auto" w:fill="FFFFFF"/>
          <w:vAlign w:val="bottom"/>
        </w:tcPr>
        <w:p w14:paraId="12825F64" w14:textId="77777777" w:rsidR="002038B7" w:rsidRPr="00582889" w:rsidRDefault="002038B7" w:rsidP="002038B7">
          <w:pPr>
            <w:ind w:left="115"/>
            <w:rPr>
              <w:rFonts w:ascii="Times New Roman" w:hAnsi="Times New Roman" w:cs="Times New Roman"/>
              <w:sz w:val="21"/>
              <w:szCs w:val="21"/>
            </w:rPr>
          </w:pPr>
          <w:r w:rsidRPr="00582889">
            <w:rPr>
              <w:rFonts w:ascii="Times New Roman" w:hAnsi="Times New Roman" w:cs="Times New Roman"/>
              <w:sz w:val="21"/>
              <w:szCs w:val="21"/>
            </w:rPr>
            <w:t>3</w:t>
          </w:r>
        </w:p>
      </w:tc>
    </w:tr>
    <w:tr w:rsidR="002038B7" w:rsidRPr="00582889" w14:paraId="5BADCBC3" w14:textId="77777777" w:rsidTr="00115254">
      <w:trPr>
        <w:trHeight w:hRule="exact" w:val="274"/>
        <w:jc w:val="center"/>
      </w:trPr>
      <w:tc>
        <w:tcPr>
          <w:tcW w:w="2352" w:type="dxa"/>
          <w:tcBorders>
            <w:top w:val="single" w:sz="4" w:space="0" w:color="auto"/>
            <w:left w:val="single" w:sz="4" w:space="0" w:color="auto"/>
            <w:bottom w:val="single" w:sz="4" w:space="0" w:color="auto"/>
          </w:tcBorders>
          <w:shd w:val="clear" w:color="auto" w:fill="FFFFFF"/>
        </w:tcPr>
        <w:p w14:paraId="38BCA5A1" w14:textId="77777777" w:rsidR="002038B7" w:rsidRPr="00582889" w:rsidRDefault="002038B7" w:rsidP="002038B7">
          <w:pPr>
            <w:ind w:left="115"/>
            <w:rPr>
              <w:rFonts w:ascii="Times New Roman" w:hAnsi="Times New Roman" w:cs="Times New Roman"/>
              <w:sz w:val="21"/>
              <w:szCs w:val="21"/>
            </w:rPr>
          </w:pPr>
          <w:r w:rsidRPr="00582889">
            <w:rPr>
              <w:rFonts w:ascii="Times New Roman" w:hAnsi="Times New Roman" w:cs="Times New Roman"/>
              <w:sz w:val="21"/>
              <w:szCs w:val="21"/>
            </w:rPr>
            <w:t>Procurement Provisions</w:t>
          </w:r>
        </w:p>
      </w:tc>
      <w:tc>
        <w:tcPr>
          <w:tcW w:w="4248" w:type="dxa"/>
          <w:tcBorders>
            <w:top w:val="single" w:sz="4" w:space="0" w:color="auto"/>
            <w:left w:val="single" w:sz="4" w:space="0" w:color="auto"/>
            <w:bottom w:val="single" w:sz="4" w:space="0" w:color="auto"/>
          </w:tcBorders>
          <w:shd w:val="clear" w:color="auto" w:fill="FFFFFF"/>
        </w:tcPr>
        <w:p w14:paraId="382AF405" w14:textId="77777777" w:rsidR="002038B7" w:rsidRPr="00582889" w:rsidRDefault="002038B7" w:rsidP="002038B7">
          <w:pPr>
            <w:ind w:left="115"/>
            <w:rPr>
              <w:rFonts w:ascii="Times New Roman" w:hAnsi="Times New Roman" w:cs="Times New Roman"/>
              <w:b/>
              <w:bCs/>
              <w:sz w:val="21"/>
              <w:szCs w:val="21"/>
            </w:rPr>
          </w:pPr>
          <w:r w:rsidRPr="00582889">
            <w:rPr>
              <w:rFonts w:ascii="Times New Roman" w:hAnsi="Times New Roman" w:cs="Times New Roman"/>
              <w:b/>
              <w:bCs/>
              <w:sz w:val="21"/>
              <w:szCs w:val="21"/>
            </w:rPr>
            <w:t>Grant Management Regime I and II</w:t>
          </w:r>
        </w:p>
      </w:tc>
      <w:tc>
        <w:tcPr>
          <w:tcW w:w="1330" w:type="dxa"/>
          <w:tcBorders>
            <w:top w:val="single" w:sz="4" w:space="0" w:color="auto"/>
            <w:left w:val="single" w:sz="4" w:space="0" w:color="auto"/>
            <w:bottom w:val="single" w:sz="4" w:space="0" w:color="auto"/>
          </w:tcBorders>
          <w:shd w:val="clear" w:color="auto" w:fill="FFFFFF"/>
        </w:tcPr>
        <w:p w14:paraId="62E0382F" w14:textId="77777777" w:rsidR="002038B7" w:rsidRPr="00582889" w:rsidRDefault="002038B7" w:rsidP="002038B7">
          <w:pPr>
            <w:ind w:left="115"/>
            <w:rPr>
              <w:rFonts w:ascii="Times New Roman" w:hAnsi="Times New Roman" w:cs="Times New Roman"/>
              <w:sz w:val="21"/>
              <w:szCs w:val="21"/>
            </w:rPr>
          </w:pPr>
          <w:r w:rsidRPr="00582889">
            <w:rPr>
              <w:rFonts w:ascii="Times New Roman" w:hAnsi="Times New Roman" w:cs="Times New Roman"/>
              <w:sz w:val="21"/>
              <w:szCs w:val="21"/>
            </w:rPr>
            <w:t>Date:</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4ED85125" w14:textId="77777777" w:rsidR="002038B7" w:rsidRPr="00582889" w:rsidRDefault="002038B7" w:rsidP="002038B7">
          <w:pPr>
            <w:ind w:left="115"/>
            <w:rPr>
              <w:rFonts w:ascii="Times New Roman" w:hAnsi="Times New Roman" w:cs="Times New Roman"/>
              <w:sz w:val="21"/>
              <w:szCs w:val="21"/>
            </w:rPr>
          </w:pPr>
          <w:r w:rsidRPr="00582889">
            <w:rPr>
              <w:rFonts w:ascii="Times New Roman" w:hAnsi="Times New Roman" w:cs="Times New Roman"/>
              <w:sz w:val="21"/>
              <w:szCs w:val="21"/>
            </w:rPr>
            <w:t>21.10.2019</w:t>
          </w:r>
        </w:p>
      </w:tc>
    </w:tr>
  </w:tbl>
  <w:p w14:paraId="45DB05E3" w14:textId="77777777" w:rsidR="002038B7" w:rsidRDefault="002038B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10" w:type="dxa"/>
        <w:right w:w="10" w:type="dxa"/>
      </w:tblCellMar>
      <w:tblLook w:val="04A0" w:firstRow="1" w:lastRow="0" w:firstColumn="1" w:lastColumn="0" w:noHBand="0" w:noVBand="1"/>
    </w:tblPr>
    <w:tblGrid>
      <w:gridCol w:w="2352"/>
      <w:gridCol w:w="4248"/>
      <w:gridCol w:w="1330"/>
      <w:gridCol w:w="1075"/>
    </w:tblGrid>
    <w:tr w:rsidR="00582889" w:rsidRPr="00582889" w14:paraId="4D69C6E8" w14:textId="77777777" w:rsidTr="002038B7">
      <w:trPr>
        <w:trHeight w:hRule="exact" w:val="259"/>
        <w:jc w:val="center"/>
      </w:trPr>
      <w:tc>
        <w:tcPr>
          <w:tcW w:w="2352" w:type="dxa"/>
          <w:tcBorders>
            <w:top w:val="single" w:sz="4" w:space="0" w:color="auto"/>
            <w:left w:val="single" w:sz="4" w:space="0" w:color="auto"/>
          </w:tcBorders>
          <w:shd w:val="clear" w:color="auto" w:fill="FFFFFF"/>
          <w:vAlign w:val="bottom"/>
        </w:tcPr>
        <w:p w14:paraId="05B9ED37" w14:textId="77777777" w:rsidR="00582889" w:rsidRPr="00582889" w:rsidRDefault="00582889" w:rsidP="00582889">
          <w:pPr>
            <w:ind w:left="115"/>
            <w:rPr>
              <w:rFonts w:ascii="Times New Roman" w:hAnsi="Times New Roman" w:cs="Times New Roman"/>
              <w:sz w:val="21"/>
              <w:szCs w:val="21"/>
            </w:rPr>
          </w:pPr>
          <w:r w:rsidRPr="00582889">
            <w:rPr>
              <w:rFonts w:ascii="Times New Roman" w:hAnsi="Times New Roman" w:cs="Times New Roman"/>
              <w:sz w:val="21"/>
              <w:szCs w:val="21"/>
            </w:rPr>
            <w:t>Standard:</w:t>
          </w:r>
        </w:p>
      </w:tc>
      <w:tc>
        <w:tcPr>
          <w:tcW w:w="4248" w:type="dxa"/>
          <w:tcBorders>
            <w:top w:val="single" w:sz="4" w:space="0" w:color="auto"/>
            <w:left w:val="single" w:sz="4" w:space="0" w:color="auto"/>
          </w:tcBorders>
          <w:shd w:val="clear" w:color="auto" w:fill="FFFFFF"/>
          <w:vAlign w:val="bottom"/>
        </w:tcPr>
        <w:p w14:paraId="48CE15EC" w14:textId="77777777" w:rsidR="00582889" w:rsidRPr="00582889" w:rsidRDefault="00582889" w:rsidP="00582889">
          <w:pPr>
            <w:ind w:left="115"/>
            <w:rPr>
              <w:rFonts w:ascii="Times New Roman" w:hAnsi="Times New Roman" w:cs="Times New Roman"/>
              <w:b/>
              <w:bCs/>
              <w:sz w:val="21"/>
              <w:szCs w:val="21"/>
            </w:rPr>
          </w:pPr>
          <w:r w:rsidRPr="00582889">
            <w:rPr>
              <w:rFonts w:ascii="Times New Roman" w:hAnsi="Times New Roman" w:cs="Times New Roman"/>
              <w:b/>
              <w:bCs/>
              <w:sz w:val="21"/>
              <w:szCs w:val="21"/>
            </w:rPr>
            <w:t>Norwegian and Non-Norwegian NGOs</w:t>
          </w:r>
        </w:p>
      </w:tc>
      <w:tc>
        <w:tcPr>
          <w:tcW w:w="1330" w:type="dxa"/>
          <w:tcBorders>
            <w:top w:val="single" w:sz="4" w:space="0" w:color="auto"/>
            <w:left w:val="single" w:sz="4" w:space="0" w:color="auto"/>
          </w:tcBorders>
          <w:shd w:val="clear" w:color="auto" w:fill="FFFFFF"/>
          <w:vAlign w:val="bottom"/>
        </w:tcPr>
        <w:p w14:paraId="252BC864" w14:textId="77777777" w:rsidR="00582889" w:rsidRPr="00582889" w:rsidRDefault="00582889" w:rsidP="00582889">
          <w:pPr>
            <w:ind w:left="115"/>
            <w:rPr>
              <w:rFonts w:ascii="Times New Roman" w:hAnsi="Times New Roman" w:cs="Times New Roman"/>
              <w:sz w:val="21"/>
              <w:szCs w:val="21"/>
            </w:rPr>
          </w:pPr>
          <w:r w:rsidRPr="00582889">
            <w:rPr>
              <w:rFonts w:ascii="Times New Roman" w:hAnsi="Times New Roman" w:cs="Times New Roman"/>
              <w:sz w:val="21"/>
              <w:szCs w:val="21"/>
            </w:rPr>
            <w:t>Revision no:.</w:t>
          </w:r>
        </w:p>
      </w:tc>
      <w:tc>
        <w:tcPr>
          <w:tcW w:w="1075" w:type="dxa"/>
          <w:tcBorders>
            <w:top w:val="single" w:sz="4" w:space="0" w:color="auto"/>
            <w:left w:val="single" w:sz="4" w:space="0" w:color="auto"/>
            <w:right w:val="single" w:sz="4" w:space="0" w:color="auto"/>
          </w:tcBorders>
          <w:shd w:val="clear" w:color="auto" w:fill="FFFFFF"/>
          <w:vAlign w:val="bottom"/>
        </w:tcPr>
        <w:p w14:paraId="1BB36D03" w14:textId="77777777" w:rsidR="00582889" w:rsidRPr="00582889" w:rsidRDefault="00582889" w:rsidP="00582889">
          <w:pPr>
            <w:ind w:left="115"/>
            <w:rPr>
              <w:rFonts w:ascii="Times New Roman" w:hAnsi="Times New Roman" w:cs="Times New Roman"/>
              <w:sz w:val="21"/>
              <w:szCs w:val="21"/>
            </w:rPr>
          </w:pPr>
          <w:r w:rsidRPr="00582889">
            <w:rPr>
              <w:rFonts w:ascii="Times New Roman" w:hAnsi="Times New Roman" w:cs="Times New Roman"/>
              <w:sz w:val="21"/>
              <w:szCs w:val="21"/>
            </w:rPr>
            <w:t>3</w:t>
          </w:r>
        </w:p>
      </w:tc>
    </w:tr>
    <w:tr w:rsidR="00582889" w:rsidRPr="00582889" w14:paraId="5BEAD0F7" w14:textId="77777777" w:rsidTr="002038B7">
      <w:trPr>
        <w:trHeight w:hRule="exact" w:val="274"/>
        <w:jc w:val="center"/>
      </w:trPr>
      <w:tc>
        <w:tcPr>
          <w:tcW w:w="2352" w:type="dxa"/>
          <w:tcBorders>
            <w:top w:val="single" w:sz="4" w:space="0" w:color="auto"/>
            <w:left w:val="single" w:sz="4" w:space="0" w:color="auto"/>
            <w:bottom w:val="single" w:sz="4" w:space="0" w:color="auto"/>
          </w:tcBorders>
          <w:shd w:val="clear" w:color="auto" w:fill="FFFFFF"/>
        </w:tcPr>
        <w:p w14:paraId="6E00A2AC" w14:textId="77777777" w:rsidR="00582889" w:rsidRPr="00582889" w:rsidRDefault="00582889" w:rsidP="00582889">
          <w:pPr>
            <w:ind w:left="115"/>
            <w:rPr>
              <w:rFonts w:ascii="Times New Roman" w:hAnsi="Times New Roman" w:cs="Times New Roman"/>
              <w:sz w:val="21"/>
              <w:szCs w:val="21"/>
            </w:rPr>
          </w:pPr>
          <w:r w:rsidRPr="00582889">
            <w:rPr>
              <w:rFonts w:ascii="Times New Roman" w:hAnsi="Times New Roman" w:cs="Times New Roman"/>
              <w:sz w:val="21"/>
              <w:szCs w:val="21"/>
            </w:rPr>
            <w:t>Procurement Provisions</w:t>
          </w:r>
        </w:p>
      </w:tc>
      <w:tc>
        <w:tcPr>
          <w:tcW w:w="4248" w:type="dxa"/>
          <w:tcBorders>
            <w:top w:val="single" w:sz="4" w:space="0" w:color="auto"/>
            <w:left w:val="single" w:sz="4" w:space="0" w:color="auto"/>
            <w:bottom w:val="single" w:sz="4" w:space="0" w:color="auto"/>
          </w:tcBorders>
          <w:shd w:val="clear" w:color="auto" w:fill="FFFFFF"/>
        </w:tcPr>
        <w:p w14:paraId="296D8C02" w14:textId="77777777" w:rsidR="00582889" w:rsidRPr="00582889" w:rsidRDefault="00582889" w:rsidP="00582889">
          <w:pPr>
            <w:ind w:left="115"/>
            <w:rPr>
              <w:rFonts w:ascii="Times New Roman" w:hAnsi="Times New Roman" w:cs="Times New Roman"/>
              <w:b/>
              <w:bCs/>
              <w:sz w:val="21"/>
              <w:szCs w:val="21"/>
            </w:rPr>
          </w:pPr>
          <w:r w:rsidRPr="00582889">
            <w:rPr>
              <w:rFonts w:ascii="Times New Roman" w:hAnsi="Times New Roman" w:cs="Times New Roman"/>
              <w:b/>
              <w:bCs/>
              <w:sz w:val="21"/>
              <w:szCs w:val="21"/>
            </w:rPr>
            <w:t>Grant Management Regime I and II</w:t>
          </w:r>
        </w:p>
      </w:tc>
      <w:tc>
        <w:tcPr>
          <w:tcW w:w="1330" w:type="dxa"/>
          <w:tcBorders>
            <w:top w:val="single" w:sz="4" w:space="0" w:color="auto"/>
            <w:left w:val="single" w:sz="4" w:space="0" w:color="auto"/>
            <w:bottom w:val="single" w:sz="4" w:space="0" w:color="auto"/>
          </w:tcBorders>
          <w:shd w:val="clear" w:color="auto" w:fill="FFFFFF"/>
        </w:tcPr>
        <w:p w14:paraId="6AA0F560" w14:textId="77777777" w:rsidR="00582889" w:rsidRPr="00582889" w:rsidRDefault="00582889" w:rsidP="00582889">
          <w:pPr>
            <w:ind w:left="115"/>
            <w:rPr>
              <w:rFonts w:ascii="Times New Roman" w:hAnsi="Times New Roman" w:cs="Times New Roman"/>
              <w:sz w:val="21"/>
              <w:szCs w:val="21"/>
            </w:rPr>
          </w:pPr>
          <w:r w:rsidRPr="00582889">
            <w:rPr>
              <w:rFonts w:ascii="Times New Roman" w:hAnsi="Times New Roman" w:cs="Times New Roman"/>
              <w:sz w:val="21"/>
              <w:szCs w:val="21"/>
            </w:rPr>
            <w:t>Date:</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3BF25D1C" w14:textId="77777777" w:rsidR="00582889" w:rsidRPr="00582889" w:rsidRDefault="00582889" w:rsidP="00582889">
          <w:pPr>
            <w:ind w:left="115"/>
            <w:rPr>
              <w:rFonts w:ascii="Times New Roman" w:hAnsi="Times New Roman" w:cs="Times New Roman"/>
              <w:sz w:val="21"/>
              <w:szCs w:val="21"/>
            </w:rPr>
          </w:pPr>
          <w:r w:rsidRPr="00582889">
            <w:rPr>
              <w:rFonts w:ascii="Times New Roman" w:hAnsi="Times New Roman" w:cs="Times New Roman"/>
              <w:sz w:val="21"/>
              <w:szCs w:val="21"/>
            </w:rPr>
            <w:t>21.10.2019</w:t>
          </w:r>
        </w:p>
      </w:tc>
    </w:tr>
  </w:tbl>
  <w:p w14:paraId="51C8217F" w14:textId="77777777" w:rsidR="00582889" w:rsidRDefault="0058288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9A4"/>
    <w:multiLevelType w:val="multilevel"/>
    <w:tmpl w:val="764E2F10"/>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606E58"/>
    <w:multiLevelType w:val="multilevel"/>
    <w:tmpl w:val="01823A4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B57D00"/>
    <w:multiLevelType w:val="multilevel"/>
    <w:tmpl w:val="58CE6F74"/>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1E2866"/>
    <w:multiLevelType w:val="multilevel"/>
    <w:tmpl w:val="FDD810D0"/>
    <w:lvl w:ilvl="0">
      <w:start w:val="19"/>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4846EC"/>
    <w:multiLevelType w:val="multilevel"/>
    <w:tmpl w:val="23B2F0BE"/>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E5B31"/>
    <w:multiLevelType w:val="multilevel"/>
    <w:tmpl w:val="6E9E2840"/>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7B56AA"/>
    <w:multiLevelType w:val="multilevel"/>
    <w:tmpl w:val="DE9A5F20"/>
    <w:lvl w:ilvl="0">
      <w:start w:val="1"/>
      <w:numFmt w:val="decimal"/>
      <w:lvlText w:val="17.%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6F44F0"/>
    <w:multiLevelType w:val="multilevel"/>
    <w:tmpl w:val="C0A64E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D1A335E"/>
    <w:multiLevelType w:val="multilevel"/>
    <w:tmpl w:val="CD3276A4"/>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2F1E68"/>
    <w:multiLevelType w:val="multilevel"/>
    <w:tmpl w:val="5A9ED44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774DC1"/>
    <w:multiLevelType w:val="multilevel"/>
    <w:tmpl w:val="5D68E74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756BD7"/>
    <w:multiLevelType w:val="multilevel"/>
    <w:tmpl w:val="C598E37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2E7398F"/>
    <w:multiLevelType w:val="multilevel"/>
    <w:tmpl w:val="04489C2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E63828"/>
    <w:multiLevelType w:val="multilevel"/>
    <w:tmpl w:val="29307418"/>
    <w:lvl w:ilvl="0">
      <w:start w:val="19"/>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528282C"/>
    <w:multiLevelType w:val="multilevel"/>
    <w:tmpl w:val="A48C26F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0E90951"/>
    <w:multiLevelType w:val="multilevel"/>
    <w:tmpl w:val="3434054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5D733F"/>
    <w:multiLevelType w:val="multilevel"/>
    <w:tmpl w:val="24F881F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EE776F8"/>
    <w:multiLevelType w:val="hybridMultilevel"/>
    <w:tmpl w:val="A3568C18"/>
    <w:lvl w:ilvl="0" w:tplc="65B4165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477D5886"/>
    <w:multiLevelType w:val="multilevel"/>
    <w:tmpl w:val="B244717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8F3550E"/>
    <w:multiLevelType w:val="multilevel"/>
    <w:tmpl w:val="A89623EA"/>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4D06B3"/>
    <w:multiLevelType w:val="multilevel"/>
    <w:tmpl w:val="7B4C99FA"/>
    <w:lvl w:ilvl="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2"/>
      <w:numFmt w:val="decimal"/>
      <w:lvlText w:val="%1.%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FB0F88"/>
    <w:multiLevelType w:val="multilevel"/>
    <w:tmpl w:val="006C84D4"/>
    <w:lvl w:ilvl="0">
      <w:start w:val="3"/>
      <w:numFmt w:val="decimal"/>
      <w:lvlText w:val="16.%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46574D"/>
    <w:multiLevelType w:val="multilevel"/>
    <w:tmpl w:val="EA02F894"/>
    <w:lvl w:ilvl="0">
      <w:start w:val="1"/>
      <w:numFmt w:val="decimal"/>
      <w:pStyle w:val="Sumrio5"/>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86E29DC"/>
    <w:multiLevelType w:val="multilevel"/>
    <w:tmpl w:val="52A03D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8AD22BE"/>
    <w:multiLevelType w:val="hybridMultilevel"/>
    <w:tmpl w:val="2D6E2A38"/>
    <w:lvl w:ilvl="0" w:tplc="7B0841D8">
      <w:start w:val="1"/>
      <w:numFmt w:val="bullet"/>
      <w:lvlText w:val="-"/>
      <w:lvlJc w:val="left"/>
      <w:pPr>
        <w:ind w:left="2060" w:hanging="360"/>
      </w:pPr>
      <w:rPr>
        <w:rFonts w:ascii="MS Gothic" w:eastAsia="MS Gothic" w:hAnsi="MS Gothic" w:hint="eastAsia"/>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5" w15:restartNumberingAfterBreak="0">
    <w:nsid w:val="58CA0A53"/>
    <w:multiLevelType w:val="multilevel"/>
    <w:tmpl w:val="83EC78D4"/>
    <w:lvl w:ilvl="0">
      <w:start w:val="6"/>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AE67B7C"/>
    <w:multiLevelType w:val="multilevel"/>
    <w:tmpl w:val="158E62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BA17AA6"/>
    <w:multiLevelType w:val="multilevel"/>
    <w:tmpl w:val="A89623EA"/>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B86EE8"/>
    <w:multiLevelType w:val="multilevel"/>
    <w:tmpl w:val="10B0B4A6"/>
    <w:lvl w:ilvl="0">
      <w:start w:val="3"/>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EE5342F"/>
    <w:multiLevelType w:val="multilevel"/>
    <w:tmpl w:val="414C7DC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2650D26"/>
    <w:multiLevelType w:val="multilevel"/>
    <w:tmpl w:val="1500E80A"/>
    <w:lvl w:ilvl="0">
      <w:start w:val="1"/>
      <w:numFmt w:val="decimal"/>
      <w:lvlText w:val="18.%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4845836"/>
    <w:multiLevelType w:val="multilevel"/>
    <w:tmpl w:val="A15E302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79B013E"/>
    <w:multiLevelType w:val="multilevel"/>
    <w:tmpl w:val="C330864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B3E08F9"/>
    <w:multiLevelType w:val="multilevel"/>
    <w:tmpl w:val="E436A2E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C723323"/>
    <w:multiLevelType w:val="multilevel"/>
    <w:tmpl w:val="E8C8CED6"/>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D1E71CD"/>
    <w:multiLevelType w:val="multilevel"/>
    <w:tmpl w:val="1F06AACC"/>
    <w:lvl w:ilvl="0">
      <w:start w:val="1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0181498"/>
    <w:multiLevelType w:val="multilevel"/>
    <w:tmpl w:val="5FAA737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8C43B3D"/>
    <w:multiLevelType w:val="multilevel"/>
    <w:tmpl w:val="A902512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9F57442"/>
    <w:multiLevelType w:val="multilevel"/>
    <w:tmpl w:val="BCB8696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AD21728"/>
    <w:multiLevelType w:val="multilevel"/>
    <w:tmpl w:val="FD7C33B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FCD1D23"/>
    <w:multiLevelType w:val="multilevel"/>
    <w:tmpl w:val="10A6266A"/>
    <w:lvl w:ilvl="0">
      <w:start w:val="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9365385">
    <w:abstractNumId w:val="22"/>
  </w:num>
  <w:num w:numId="2" w16cid:durableId="773210000">
    <w:abstractNumId w:val="36"/>
  </w:num>
  <w:num w:numId="3" w16cid:durableId="842551811">
    <w:abstractNumId w:val="31"/>
  </w:num>
  <w:num w:numId="4" w16cid:durableId="244190312">
    <w:abstractNumId w:val="38"/>
  </w:num>
  <w:num w:numId="5" w16cid:durableId="1191215076">
    <w:abstractNumId w:val="15"/>
  </w:num>
  <w:num w:numId="6" w16cid:durableId="670067442">
    <w:abstractNumId w:val="5"/>
  </w:num>
  <w:num w:numId="7" w16cid:durableId="646863677">
    <w:abstractNumId w:val="39"/>
  </w:num>
  <w:num w:numId="8" w16cid:durableId="2094087793">
    <w:abstractNumId w:val="11"/>
  </w:num>
  <w:num w:numId="9" w16cid:durableId="1801654793">
    <w:abstractNumId w:val="37"/>
  </w:num>
  <w:num w:numId="10" w16cid:durableId="88818011">
    <w:abstractNumId w:val="28"/>
  </w:num>
  <w:num w:numId="11" w16cid:durableId="107507094">
    <w:abstractNumId w:val="35"/>
  </w:num>
  <w:num w:numId="12" w16cid:durableId="1415974160">
    <w:abstractNumId w:val="10"/>
  </w:num>
  <w:num w:numId="13" w16cid:durableId="1641114155">
    <w:abstractNumId w:val="16"/>
  </w:num>
  <w:num w:numId="14" w16cid:durableId="1127551496">
    <w:abstractNumId w:val="18"/>
  </w:num>
  <w:num w:numId="15" w16cid:durableId="1311792982">
    <w:abstractNumId w:val="30"/>
  </w:num>
  <w:num w:numId="16" w16cid:durableId="685906234">
    <w:abstractNumId w:val="1"/>
  </w:num>
  <w:num w:numId="17" w16cid:durableId="1833521143">
    <w:abstractNumId w:val="3"/>
  </w:num>
  <w:num w:numId="18" w16cid:durableId="613635724">
    <w:abstractNumId w:val="13"/>
  </w:num>
  <w:num w:numId="19" w16cid:durableId="1816288906">
    <w:abstractNumId w:val="33"/>
  </w:num>
  <w:num w:numId="20" w16cid:durableId="1526554695">
    <w:abstractNumId w:val="24"/>
  </w:num>
  <w:num w:numId="21" w16cid:durableId="534588007">
    <w:abstractNumId w:val="25"/>
  </w:num>
  <w:num w:numId="22" w16cid:durableId="1563904802">
    <w:abstractNumId w:val="40"/>
  </w:num>
  <w:num w:numId="23" w16cid:durableId="1582904308">
    <w:abstractNumId w:val="21"/>
  </w:num>
  <w:num w:numId="24" w16cid:durableId="1257859317">
    <w:abstractNumId w:val="26"/>
  </w:num>
  <w:num w:numId="25" w16cid:durableId="978336779">
    <w:abstractNumId w:val="6"/>
  </w:num>
  <w:num w:numId="26" w16cid:durableId="503740673">
    <w:abstractNumId w:val="12"/>
  </w:num>
  <w:num w:numId="27" w16cid:durableId="856929">
    <w:abstractNumId w:val="8"/>
  </w:num>
  <w:num w:numId="28" w16cid:durableId="1646465995">
    <w:abstractNumId w:val="7"/>
  </w:num>
  <w:num w:numId="29" w16cid:durableId="245113605">
    <w:abstractNumId w:val="20"/>
  </w:num>
  <w:num w:numId="30" w16cid:durableId="846095638">
    <w:abstractNumId w:val="34"/>
  </w:num>
  <w:num w:numId="31" w16cid:durableId="1187062523">
    <w:abstractNumId w:val="9"/>
  </w:num>
  <w:num w:numId="32" w16cid:durableId="42603874">
    <w:abstractNumId w:val="14"/>
  </w:num>
  <w:num w:numId="33" w16cid:durableId="82067460">
    <w:abstractNumId w:val="19"/>
  </w:num>
  <w:num w:numId="34" w16cid:durableId="674113867">
    <w:abstractNumId w:val="4"/>
  </w:num>
  <w:num w:numId="35" w16cid:durableId="1776248339">
    <w:abstractNumId w:val="23"/>
  </w:num>
  <w:num w:numId="36" w16cid:durableId="1078671314">
    <w:abstractNumId w:val="0"/>
  </w:num>
  <w:num w:numId="37" w16cid:durableId="706419076">
    <w:abstractNumId w:val="29"/>
  </w:num>
  <w:num w:numId="38" w16cid:durableId="500975410">
    <w:abstractNumId w:val="2"/>
  </w:num>
  <w:num w:numId="39" w16cid:durableId="127556569">
    <w:abstractNumId w:val="32"/>
  </w:num>
  <w:num w:numId="40" w16cid:durableId="1969621917">
    <w:abstractNumId w:val="17"/>
  </w:num>
  <w:num w:numId="41" w16cid:durableId="1091305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3D"/>
    <w:rsid w:val="002038B7"/>
    <w:rsid w:val="003F6EEA"/>
    <w:rsid w:val="00582889"/>
    <w:rsid w:val="0069108A"/>
    <w:rsid w:val="006A0573"/>
    <w:rsid w:val="006C3DE2"/>
    <w:rsid w:val="00904445"/>
    <w:rsid w:val="009B12F7"/>
    <w:rsid w:val="00A37445"/>
    <w:rsid w:val="00B00A3D"/>
    <w:rsid w:val="00C85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2D858"/>
  <w15:chartTrackingRefBased/>
  <w15:docId w15:val="{28B709BC-037D-4812-A267-FBFE931A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A3D"/>
    <w:pPr>
      <w:widowControl w:val="0"/>
      <w:spacing w:after="0" w:line="240" w:lineRule="auto"/>
    </w:pPr>
    <w:rPr>
      <w:rFonts w:ascii="Microsoft Sans Serif" w:eastAsia="Microsoft Sans Serif" w:hAnsi="Microsoft Sans Serif" w:cs="Microsoft Sans Serif"/>
      <w:color w:val="000000"/>
      <w:sz w:val="24"/>
      <w:szCs w:val="24"/>
      <w:lang w:bidi="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00A3D"/>
    <w:pPr>
      <w:tabs>
        <w:tab w:val="center" w:pos="4419"/>
        <w:tab w:val="right" w:pos="8838"/>
      </w:tabs>
    </w:pPr>
  </w:style>
  <w:style w:type="character" w:customStyle="1" w:styleId="CabealhoChar">
    <w:name w:val="Cabeçalho Char"/>
    <w:basedOn w:val="Fontepargpadro"/>
    <w:link w:val="Cabealho"/>
    <w:uiPriority w:val="99"/>
    <w:rsid w:val="00B00A3D"/>
  </w:style>
  <w:style w:type="paragraph" w:styleId="Rodap">
    <w:name w:val="footer"/>
    <w:basedOn w:val="Normal"/>
    <w:link w:val="RodapChar"/>
    <w:uiPriority w:val="99"/>
    <w:unhideWhenUsed/>
    <w:rsid w:val="00B00A3D"/>
    <w:pPr>
      <w:tabs>
        <w:tab w:val="center" w:pos="4419"/>
        <w:tab w:val="right" w:pos="8838"/>
      </w:tabs>
    </w:pPr>
  </w:style>
  <w:style w:type="character" w:customStyle="1" w:styleId="RodapChar">
    <w:name w:val="Rodapé Char"/>
    <w:basedOn w:val="Fontepargpadro"/>
    <w:link w:val="Rodap"/>
    <w:uiPriority w:val="99"/>
    <w:rsid w:val="00B00A3D"/>
  </w:style>
  <w:style w:type="character" w:customStyle="1" w:styleId="Textodocorpo2">
    <w:name w:val="Texto do corpo (2)_"/>
    <w:basedOn w:val="Fontepargpadro"/>
    <w:rsid w:val="00B00A3D"/>
    <w:rPr>
      <w:rFonts w:ascii="Times New Roman" w:eastAsia="Times New Roman" w:hAnsi="Times New Roman" w:cs="Times New Roman"/>
      <w:b w:val="0"/>
      <w:bCs w:val="0"/>
      <w:i w:val="0"/>
      <w:iCs w:val="0"/>
      <w:smallCaps w:val="0"/>
      <w:strike w:val="0"/>
      <w:sz w:val="21"/>
      <w:szCs w:val="21"/>
      <w:u w:val="none"/>
    </w:rPr>
  </w:style>
  <w:style w:type="character" w:customStyle="1" w:styleId="Textodocorpo20">
    <w:name w:val="Texto do corpo (2)"/>
    <w:basedOn w:val="Textodocorpo2"/>
    <w:rsid w:val="00B00A3D"/>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Ttulo5">
    <w:name w:val="Título #5_"/>
    <w:basedOn w:val="Fontepargpadro"/>
    <w:link w:val="Ttulo50"/>
    <w:rsid w:val="00B00A3D"/>
    <w:rPr>
      <w:rFonts w:ascii="Times New Roman" w:eastAsia="Times New Roman" w:hAnsi="Times New Roman" w:cs="Times New Roman"/>
      <w:sz w:val="30"/>
      <w:szCs w:val="30"/>
      <w:shd w:val="clear" w:color="auto" w:fill="FFFFFF"/>
    </w:rPr>
  </w:style>
  <w:style w:type="character" w:customStyle="1" w:styleId="Sumrio5Char">
    <w:name w:val="Sumário 5 Char"/>
    <w:basedOn w:val="Fontepargpadro"/>
    <w:link w:val="Sumrio5"/>
    <w:rsid w:val="002038B7"/>
    <w:rPr>
      <w:rFonts w:ascii="Times New Roman" w:eastAsia="Times New Roman" w:hAnsi="Times New Roman" w:cs="Times New Roman"/>
      <w:sz w:val="21"/>
      <w:szCs w:val="21"/>
    </w:rPr>
  </w:style>
  <w:style w:type="paragraph" w:customStyle="1" w:styleId="Ttulo50">
    <w:name w:val="Título #5"/>
    <w:basedOn w:val="Normal"/>
    <w:link w:val="Ttulo5"/>
    <w:rsid w:val="00B00A3D"/>
    <w:pPr>
      <w:shd w:val="clear" w:color="auto" w:fill="FFFFFF"/>
      <w:spacing w:before="600" w:after="120" w:line="350" w:lineRule="exact"/>
      <w:jc w:val="center"/>
      <w:outlineLvl w:val="4"/>
    </w:pPr>
    <w:rPr>
      <w:rFonts w:ascii="Times New Roman" w:eastAsia="Times New Roman" w:hAnsi="Times New Roman" w:cs="Times New Roman"/>
      <w:color w:val="auto"/>
      <w:sz w:val="30"/>
      <w:szCs w:val="30"/>
      <w:lang w:bidi="ar-SA"/>
    </w:rPr>
  </w:style>
  <w:style w:type="paragraph" w:styleId="Sumrio5">
    <w:name w:val="toc 5"/>
    <w:basedOn w:val="Normal"/>
    <w:link w:val="Sumrio5Char"/>
    <w:autoRedefine/>
    <w:rsid w:val="002038B7"/>
    <w:pPr>
      <w:numPr>
        <w:numId w:val="1"/>
      </w:numPr>
      <w:tabs>
        <w:tab w:val="left" w:pos="709"/>
        <w:tab w:val="left" w:leader="dot" w:pos="8647"/>
      </w:tabs>
      <w:spacing w:after="47" w:line="360" w:lineRule="auto"/>
      <w:ind w:left="360" w:right="850"/>
      <w:jc w:val="both"/>
    </w:pPr>
    <w:rPr>
      <w:rFonts w:ascii="Times New Roman" w:eastAsia="Times New Roman" w:hAnsi="Times New Roman" w:cs="Times New Roman"/>
      <w:color w:val="auto"/>
      <w:sz w:val="21"/>
      <w:szCs w:val="21"/>
      <w:lang w:bidi="ar-SA"/>
    </w:rPr>
  </w:style>
  <w:style w:type="paragraph" w:styleId="Sumrio6">
    <w:name w:val="toc 6"/>
    <w:basedOn w:val="Normal"/>
    <w:autoRedefine/>
    <w:rsid w:val="00B00A3D"/>
    <w:pPr>
      <w:tabs>
        <w:tab w:val="left" w:pos="788"/>
      </w:tabs>
      <w:spacing w:line="331" w:lineRule="exact"/>
      <w:ind w:left="360" w:right="567"/>
      <w:jc w:val="both"/>
    </w:pPr>
    <w:rPr>
      <w:rFonts w:ascii="Times New Roman" w:eastAsia="Times New Roman" w:hAnsi="Times New Roman" w:cs="Times New Roman"/>
      <w:sz w:val="21"/>
      <w:szCs w:val="21"/>
    </w:rPr>
  </w:style>
  <w:style w:type="paragraph" w:styleId="Sumrio7">
    <w:name w:val="toc 7"/>
    <w:basedOn w:val="Normal"/>
    <w:autoRedefine/>
    <w:rsid w:val="00B00A3D"/>
    <w:pPr>
      <w:shd w:val="clear" w:color="auto" w:fill="FFFFFF"/>
      <w:spacing w:before="300" w:line="341" w:lineRule="exact"/>
      <w:jc w:val="both"/>
    </w:pPr>
    <w:rPr>
      <w:rFonts w:ascii="Times New Roman" w:eastAsia="Times New Roman" w:hAnsi="Times New Roman" w:cs="Times New Roman"/>
      <w:sz w:val="21"/>
      <w:szCs w:val="21"/>
    </w:rPr>
  </w:style>
  <w:style w:type="character" w:customStyle="1" w:styleId="Ttulo6">
    <w:name w:val="Título #6_"/>
    <w:basedOn w:val="Fontepargpadro"/>
    <w:link w:val="Ttulo60"/>
    <w:rsid w:val="00B00A3D"/>
    <w:rPr>
      <w:rFonts w:ascii="Times New Roman" w:eastAsia="Times New Roman" w:hAnsi="Times New Roman" w:cs="Times New Roman"/>
      <w:b/>
      <w:bCs/>
      <w:sz w:val="21"/>
      <w:szCs w:val="21"/>
      <w:shd w:val="clear" w:color="auto" w:fill="FFFFFF"/>
    </w:rPr>
  </w:style>
  <w:style w:type="paragraph" w:customStyle="1" w:styleId="Ttulo60">
    <w:name w:val="Título #6"/>
    <w:basedOn w:val="Normal"/>
    <w:link w:val="Ttulo6"/>
    <w:rsid w:val="00B00A3D"/>
    <w:pPr>
      <w:shd w:val="clear" w:color="auto" w:fill="FFFFFF"/>
      <w:spacing w:before="480" w:after="300" w:line="0" w:lineRule="atLeast"/>
      <w:ind w:hanging="580"/>
      <w:jc w:val="both"/>
      <w:outlineLvl w:val="5"/>
    </w:pPr>
    <w:rPr>
      <w:rFonts w:ascii="Times New Roman" w:eastAsia="Times New Roman" w:hAnsi="Times New Roman" w:cs="Times New Roman"/>
      <w:b/>
      <w:bCs/>
      <w:color w:val="auto"/>
      <w:sz w:val="21"/>
      <w:szCs w:val="21"/>
      <w:lang w:bidi="ar-SA"/>
    </w:rPr>
  </w:style>
  <w:style w:type="character" w:customStyle="1" w:styleId="Textodocorpo4">
    <w:name w:val="Texto do corpo (4)_"/>
    <w:basedOn w:val="Fontepargpadro"/>
    <w:link w:val="Textodocorpo40"/>
    <w:rsid w:val="00B00A3D"/>
    <w:rPr>
      <w:rFonts w:ascii="Times New Roman" w:eastAsia="Times New Roman" w:hAnsi="Times New Roman" w:cs="Times New Roman"/>
      <w:spacing w:val="10"/>
      <w:sz w:val="21"/>
      <w:szCs w:val="21"/>
      <w:shd w:val="clear" w:color="auto" w:fill="FFFFFF"/>
    </w:rPr>
  </w:style>
  <w:style w:type="character" w:customStyle="1" w:styleId="Ttulo7">
    <w:name w:val="Título #7_"/>
    <w:basedOn w:val="Fontepargpadro"/>
    <w:link w:val="Ttulo70"/>
    <w:rsid w:val="00B00A3D"/>
    <w:rPr>
      <w:rFonts w:ascii="Times New Roman" w:eastAsia="Times New Roman" w:hAnsi="Times New Roman" w:cs="Times New Roman"/>
      <w:b/>
      <w:bCs/>
      <w:sz w:val="21"/>
      <w:szCs w:val="21"/>
      <w:shd w:val="clear" w:color="auto" w:fill="FFFFFF"/>
    </w:rPr>
  </w:style>
  <w:style w:type="paragraph" w:customStyle="1" w:styleId="Textodocorpo40">
    <w:name w:val="Texto do corpo (4)"/>
    <w:basedOn w:val="Normal"/>
    <w:link w:val="Textodocorpo4"/>
    <w:rsid w:val="00B00A3D"/>
    <w:pPr>
      <w:shd w:val="clear" w:color="auto" w:fill="FFFFFF"/>
      <w:spacing w:before="300" w:after="300" w:line="0" w:lineRule="atLeast"/>
      <w:ind w:hanging="560"/>
      <w:jc w:val="both"/>
    </w:pPr>
    <w:rPr>
      <w:rFonts w:ascii="Times New Roman" w:eastAsia="Times New Roman" w:hAnsi="Times New Roman" w:cs="Times New Roman"/>
      <w:color w:val="auto"/>
      <w:spacing w:val="10"/>
      <w:sz w:val="21"/>
      <w:szCs w:val="21"/>
      <w:lang w:bidi="ar-SA"/>
    </w:rPr>
  </w:style>
  <w:style w:type="paragraph" w:customStyle="1" w:styleId="Ttulo70">
    <w:name w:val="Título #7"/>
    <w:basedOn w:val="Normal"/>
    <w:link w:val="Ttulo7"/>
    <w:rsid w:val="00B00A3D"/>
    <w:pPr>
      <w:shd w:val="clear" w:color="auto" w:fill="FFFFFF"/>
      <w:spacing w:before="300" w:after="300" w:line="0" w:lineRule="atLeast"/>
      <w:ind w:hanging="600"/>
      <w:jc w:val="both"/>
      <w:outlineLvl w:val="6"/>
    </w:pPr>
    <w:rPr>
      <w:rFonts w:ascii="Times New Roman" w:eastAsia="Times New Roman" w:hAnsi="Times New Roman" w:cs="Times New Roman"/>
      <w:b/>
      <w:bCs/>
      <w:color w:val="auto"/>
      <w:sz w:val="21"/>
      <w:szCs w:val="21"/>
      <w:lang w:bidi="ar-SA"/>
    </w:rPr>
  </w:style>
  <w:style w:type="character" w:customStyle="1" w:styleId="Textodocorpo3">
    <w:name w:val="Texto do corpo (3)_"/>
    <w:basedOn w:val="Fontepargpadro"/>
    <w:link w:val="Textodocorpo30"/>
    <w:rsid w:val="00B00A3D"/>
    <w:rPr>
      <w:rFonts w:ascii="Times New Roman" w:eastAsia="Times New Roman" w:hAnsi="Times New Roman" w:cs="Times New Roman"/>
      <w:b/>
      <w:bCs/>
      <w:sz w:val="21"/>
      <w:szCs w:val="21"/>
      <w:shd w:val="clear" w:color="auto" w:fill="FFFFFF"/>
    </w:rPr>
  </w:style>
  <w:style w:type="paragraph" w:customStyle="1" w:styleId="Textodocorpo30">
    <w:name w:val="Texto do corpo (3)"/>
    <w:basedOn w:val="Normal"/>
    <w:link w:val="Textodocorpo3"/>
    <w:rsid w:val="00B00A3D"/>
    <w:pPr>
      <w:shd w:val="clear" w:color="auto" w:fill="FFFFFF"/>
      <w:spacing w:after="300" w:line="0" w:lineRule="atLeast"/>
      <w:ind w:hanging="560"/>
    </w:pPr>
    <w:rPr>
      <w:rFonts w:ascii="Times New Roman" w:eastAsia="Times New Roman" w:hAnsi="Times New Roman" w:cs="Times New Roman"/>
      <w:b/>
      <w:bCs/>
      <w:color w:val="auto"/>
      <w:sz w:val="21"/>
      <w:szCs w:val="21"/>
      <w:lang w:bidi="ar-SA"/>
    </w:rPr>
  </w:style>
  <w:style w:type="paragraph" w:styleId="PargrafodaLista">
    <w:name w:val="List Paragraph"/>
    <w:basedOn w:val="Normal"/>
    <w:uiPriority w:val="34"/>
    <w:qFormat/>
    <w:rsid w:val="00904445"/>
    <w:pPr>
      <w:ind w:left="720"/>
      <w:contextualSpacing/>
    </w:pPr>
  </w:style>
  <w:style w:type="paragraph" w:styleId="Textodenotaderodap">
    <w:name w:val="footnote text"/>
    <w:basedOn w:val="Normal"/>
    <w:link w:val="TextodenotaderodapChar"/>
    <w:uiPriority w:val="99"/>
    <w:semiHidden/>
    <w:unhideWhenUsed/>
    <w:rsid w:val="006C3DE2"/>
    <w:rPr>
      <w:sz w:val="20"/>
      <w:szCs w:val="20"/>
    </w:rPr>
  </w:style>
  <w:style w:type="character" w:customStyle="1" w:styleId="TextodenotaderodapChar">
    <w:name w:val="Texto de nota de rodapé Char"/>
    <w:basedOn w:val="Fontepargpadro"/>
    <w:link w:val="Textodenotaderodap"/>
    <w:uiPriority w:val="99"/>
    <w:semiHidden/>
    <w:rsid w:val="006C3DE2"/>
    <w:rPr>
      <w:rFonts w:ascii="Microsoft Sans Serif" w:eastAsia="Microsoft Sans Serif" w:hAnsi="Microsoft Sans Serif" w:cs="Microsoft Sans Serif"/>
      <w:color w:val="000000"/>
      <w:sz w:val="20"/>
      <w:szCs w:val="20"/>
      <w:lang w:bidi="en-US"/>
    </w:rPr>
  </w:style>
  <w:style w:type="character" w:styleId="Refdenotaderodap">
    <w:name w:val="footnote reference"/>
    <w:basedOn w:val="Fontepargpadro"/>
    <w:uiPriority w:val="99"/>
    <w:semiHidden/>
    <w:unhideWhenUsed/>
    <w:rsid w:val="006C3DE2"/>
    <w:rPr>
      <w:vertAlign w:val="superscript"/>
    </w:rPr>
  </w:style>
  <w:style w:type="character" w:customStyle="1" w:styleId="Ttulo3">
    <w:name w:val="Título #3_"/>
    <w:basedOn w:val="Fontepargpadro"/>
    <w:link w:val="Ttulo30"/>
    <w:rsid w:val="00582889"/>
    <w:rPr>
      <w:rFonts w:ascii="Times New Roman" w:eastAsia="Times New Roman" w:hAnsi="Times New Roman" w:cs="Times New Roman"/>
      <w:sz w:val="30"/>
      <w:szCs w:val="30"/>
      <w:shd w:val="clear" w:color="auto" w:fill="FFFFFF"/>
    </w:rPr>
  </w:style>
  <w:style w:type="character" w:customStyle="1" w:styleId="Ttulo53">
    <w:name w:val="Título #5 (3)_"/>
    <w:basedOn w:val="Fontepargpadro"/>
    <w:link w:val="Ttulo530"/>
    <w:rsid w:val="00582889"/>
    <w:rPr>
      <w:rFonts w:ascii="Times New Roman" w:eastAsia="Times New Roman" w:hAnsi="Times New Roman" w:cs="Times New Roman"/>
      <w:sz w:val="21"/>
      <w:szCs w:val="21"/>
      <w:shd w:val="clear" w:color="auto" w:fill="FFFFFF"/>
    </w:rPr>
  </w:style>
  <w:style w:type="character" w:customStyle="1" w:styleId="Textodocorpo2Espaamento-1pt">
    <w:name w:val="Texto do corpo (2) + Espaçamento -1 pt"/>
    <w:basedOn w:val="Textodocorpo2"/>
    <w:rsid w:val="00582889"/>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paragraph" w:customStyle="1" w:styleId="Ttulo30">
    <w:name w:val="Título #3"/>
    <w:basedOn w:val="Normal"/>
    <w:link w:val="Ttulo3"/>
    <w:rsid w:val="00582889"/>
    <w:pPr>
      <w:shd w:val="clear" w:color="auto" w:fill="FFFFFF"/>
      <w:spacing w:line="0" w:lineRule="atLeast"/>
      <w:outlineLvl w:val="2"/>
    </w:pPr>
    <w:rPr>
      <w:rFonts w:ascii="Times New Roman" w:eastAsia="Times New Roman" w:hAnsi="Times New Roman" w:cs="Times New Roman"/>
      <w:color w:val="auto"/>
      <w:sz w:val="30"/>
      <w:szCs w:val="30"/>
      <w:lang w:bidi="ar-SA"/>
    </w:rPr>
  </w:style>
  <w:style w:type="paragraph" w:customStyle="1" w:styleId="Ttulo530">
    <w:name w:val="Título #5 (3)"/>
    <w:basedOn w:val="Normal"/>
    <w:link w:val="Ttulo53"/>
    <w:rsid w:val="00582889"/>
    <w:pPr>
      <w:shd w:val="clear" w:color="auto" w:fill="FFFFFF"/>
      <w:spacing w:before="480" w:after="300" w:line="0" w:lineRule="atLeast"/>
      <w:ind w:hanging="520"/>
      <w:jc w:val="both"/>
      <w:outlineLvl w:val="4"/>
    </w:pPr>
    <w:rPr>
      <w:rFonts w:ascii="Times New Roman" w:eastAsia="Times New Roman" w:hAnsi="Times New Roman" w:cs="Times New Roman"/>
      <w:color w:val="auto"/>
      <w:sz w:val="21"/>
      <w:szCs w:val="21"/>
      <w:lang w:bidi="ar-SA"/>
    </w:rPr>
  </w:style>
  <w:style w:type="character" w:customStyle="1" w:styleId="Textodocorpo6">
    <w:name w:val="Texto do corpo (6)_"/>
    <w:basedOn w:val="Fontepargpadro"/>
    <w:link w:val="Textodocorpo60"/>
    <w:rsid w:val="00582889"/>
    <w:rPr>
      <w:rFonts w:ascii="Times New Roman" w:eastAsia="Times New Roman" w:hAnsi="Times New Roman" w:cs="Times New Roman"/>
      <w:sz w:val="21"/>
      <w:szCs w:val="21"/>
      <w:shd w:val="clear" w:color="auto" w:fill="FFFFFF"/>
    </w:rPr>
  </w:style>
  <w:style w:type="paragraph" w:customStyle="1" w:styleId="Textodocorpo60">
    <w:name w:val="Texto do corpo (6)"/>
    <w:basedOn w:val="Normal"/>
    <w:link w:val="Textodocorpo6"/>
    <w:rsid w:val="00582889"/>
    <w:pPr>
      <w:shd w:val="clear" w:color="auto" w:fill="FFFFFF"/>
      <w:spacing w:before="300" w:after="300" w:line="274" w:lineRule="exact"/>
      <w:ind w:hanging="380"/>
      <w:jc w:val="both"/>
    </w:pPr>
    <w:rPr>
      <w:rFonts w:ascii="Times New Roman" w:eastAsia="Times New Roman" w:hAnsi="Times New Roman" w:cs="Times New Roman"/>
      <w:color w:val="auto"/>
      <w:sz w:val="21"/>
      <w:szCs w:val="21"/>
      <w:lang w:bidi="ar-SA"/>
    </w:rPr>
  </w:style>
  <w:style w:type="character" w:customStyle="1" w:styleId="Textodocorpo6Negrito">
    <w:name w:val="Texto do corpo (6) + Negrito"/>
    <w:basedOn w:val="Textodocorpo6"/>
    <w:rsid w:val="00582889"/>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53E81-C888-4F7F-BD81-0B180FEC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17</Pages>
  <Words>6518</Words>
  <Characters>37153</Characters>
  <Application>Microsoft Office Word</Application>
  <DocSecurity>0</DocSecurity>
  <Lines>309</Lines>
  <Paragraphs>87</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PART III: PROCUREMENT IN THE CONTEXT OF PROJECTS FINANCED BY THE NORWEGIAN MINIS</vt:lpstr>
    </vt:vector>
  </TitlesOfParts>
  <Company/>
  <LinksUpToDate>false</LinksUpToDate>
  <CharactersWithSpaces>43584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Pontes</dc:creator>
  <cp:keywords/>
  <dc:description/>
  <cp:lastModifiedBy>Priscila Pontes</cp:lastModifiedBy>
  <cp:revision>3</cp:revision>
  <dcterms:created xsi:type="dcterms:W3CDTF">2022-10-26T14:21:00Z</dcterms:created>
  <dcterms:modified xsi:type="dcterms:W3CDTF">2022-10-26T18:09:00Z</dcterms:modified>
</cp:coreProperties>
</file>