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a*sin(bx+c)+d;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i, if x%4=2 then i</w:t>
      </w:r>
      <w:r>
        <w:rPr>
          <w:vertAlign w:val="superscript"/>
        </w:rPr>
        <w:t>x</w:t>
      </w:r>
      <w:r>
        <w:t> </w:t>
      </w:r>
      <w:r>
        <w:t>= -1, if x%4=3 then i</w:t>
      </w:r>
      <w:r>
        <w:rPr>
          <w:vertAlign w:val="superscript"/>
        </w:rPr>
        <w:t>x</w:t>
      </w:r>
      <w:r>
        <w:t xml:space="preserve"> = -i, and if x%4=0 then i</w:t>
      </w:r>
      <w:r>
        <w:rPr>
          <w:vertAlign w:val="superscript"/>
        </w:rPr>
        <w:t>x</w:t>
      </w:r>
      <w:r>
        <w:t xml:space="preserve"> = 1.</w:t>
      </w:r>
    </w:p>
    <w:p w:rsidR="00E8179B" w:rsidRDefault="00A92A66" w:rsidP="00E8179B">
      <w:pPr>
        <w:spacing w:line="360" w:lineRule="auto"/>
      </w:pPr>
      <w:r>
        <w:t>Compound Interest Formula: A = P(1+r/n)</w:t>
      </w:r>
      <w:r>
        <w:rPr>
          <w:vertAlign w:val="superscript"/>
        </w:rPr>
        <w:t>nt</w:t>
      </w:r>
      <w:r>
        <w:t>; A = Amount; P = Principle(initial); R = Rate; N = Number of Times Compounded per Year and T = Time (in years).</w:t>
      </w:r>
    </w:p>
    <w:p w:rsidR="00A92A66" w:rsidRDefault="00A92A66" w:rsidP="00E8179B">
      <w:pPr>
        <w:spacing w:line="360" w:lineRule="auto"/>
      </w:pPr>
      <w:r>
        <w:t>Continuously Compounded Interest: A = P(e)</w:t>
      </w:r>
      <w:r>
        <w:rPr>
          <w:vertAlign w:val="superscript"/>
        </w:rPr>
        <w:t>rt</w:t>
      </w:r>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41" w:type="dxa"/>
        <w:tblLook w:val="04A0" w:firstRow="1" w:lastRow="0" w:firstColumn="1" w:lastColumn="0" w:noHBand="0" w:noVBand="1"/>
      </w:tblPr>
      <w:tblGrid>
        <w:gridCol w:w="2359"/>
        <w:gridCol w:w="2452"/>
        <w:gridCol w:w="2181"/>
        <w:gridCol w:w="2449"/>
      </w:tblGrid>
      <w:tr w:rsidR="00262FA2" w:rsidTr="00262FA2">
        <w:trPr>
          <w:trHeight w:val="378"/>
        </w:trPr>
        <w:tc>
          <w:tcPr>
            <w:tcW w:w="2359" w:type="dxa"/>
          </w:tcPr>
          <w:p w:rsidR="00262FA2" w:rsidRDefault="00262FA2" w:rsidP="00E8179B">
            <w:pPr>
              <w:spacing w:line="360" w:lineRule="auto"/>
            </w:pPr>
            <w:r>
              <w:t>Log</w:t>
            </w:r>
            <w:r>
              <w:rPr>
                <w:vertAlign w:val="subscript"/>
              </w:rPr>
              <w:t>a</w:t>
            </w:r>
            <w:r>
              <w:t>b + Log</w:t>
            </w:r>
            <w:r>
              <w:rPr>
                <w:vertAlign w:val="subscript"/>
              </w:rPr>
              <w:t>a</w:t>
            </w:r>
            <w:r>
              <w:t>c = Log</w:t>
            </w:r>
            <w:r>
              <w:rPr>
                <w:vertAlign w:val="subscript"/>
              </w:rPr>
              <w:t>a</w:t>
            </w:r>
            <w:r>
              <w:t>(bc)</w:t>
            </w:r>
          </w:p>
        </w:tc>
        <w:tc>
          <w:tcPr>
            <w:tcW w:w="2452" w:type="dxa"/>
          </w:tcPr>
          <w:p w:rsidR="00262FA2" w:rsidRDefault="00262FA2" w:rsidP="00262FA2">
            <w:pPr>
              <w:spacing w:line="360" w:lineRule="auto"/>
            </w:pPr>
            <w:r>
              <w:t>Log</w:t>
            </w:r>
            <w:r>
              <w:softHyphen/>
            </w:r>
            <w:r>
              <w:rPr>
                <w:vertAlign w:val="subscript"/>
              </w:rPr>
              <w:t>a</w:t>
            </w:r>
            <w:r>
              <w:t>b + Log</w:t>
            </w:r>
            <w:r>
              <w:rPr>
                <w:vertAlign w:val="subscript"/>
              </w:rPr>
              <w:t>a</w:t>
            </w:r>
            <w:r>
              <w:t>c = Log</w:t>
            </w:r>
            <w:r>
              <w:rPr>
                <w:vertAlign w:val="subscript"/>
              </w:rPr>
              <w:t>a</w:t>
            </w:r>
            <w:r>
              <w:t>(b/c)</w:t>
            </w:r>
          </w:p>
          <w:p w:rsidR="00262FA2" w:rsidRDefault="00262FA2" w:rsidP="00E8179B">
            <w:pPr>
              <w:spacing w:line="360" w:lineRule="auto"/>
            </w:pPr>
          </w:p>
        </w:tc>
        <w:tc>
          <w:tcPr>
            <w:tcW w:w="2181" w:type="dxa"/>
          </w:tcPr>
          <w:p w:rsidR="00262FA2" w:rsidRDefault="00262FA2" w:rsidP="00E8179B">
            <w:pPr>
              <w:spacing w:line="360" w:lineRule="auto"/>
            </w:pPr>
            <w:r>
              <w:t>c*Log</w:t>
            </w:r>
            <w:r>
              <w:rPr>
                <w:vertAlign w:val="subscript"/>
              </w:rPr>
              <w:t>a</w:t>
            </w:r>
            <w:r>
              <w:t>b = log</w:t>
            </w:r>
            <w:r>
              <w:rPr>
                <w:vertAlign w:val="subscript"/>
              </w:rPr>
              <w:t>a</w:t>
            </w:r>
            <w:r>
              <w:t>(b</w:t>
            </w:r>
            <w:r>
              <w:rPr>
                <w:vertAlign w:val="superscript"/>
              </w:rPr>
              <w:t>c</w:t>
            </w:r>
            <w:r>
              <w:t>)</w:t>
            </w:r>
          </w:p>
        </w:tc>
        <w:tc>
          <w:tcPr>
            <w:tcW w:w="2449" w:type="dxa"/>
          </w:tcPr>
          <w:p w:rsidR="00262FA2" w:rsidRDefault="00262FA2" w:rsidP="00E8179B">
            <w:pPr>
              <w:spacing w:line="360" w:lineRule="auto"/>
            </w:pPr>
            <w:r>
              <w:t>log</w:t>
            </w:r>
            <w:r>
              <w:rPr>
                <w:vertAlign w:val="subscript"/>
              </w:rPr>
              <w:t>a</w:t>
            </w:r>
            <w:r>
              <w:t>0 = 1</w:t>
            </w:r>
          </w:p>
        </w:tc>
      </w:tr>
    </w:tbl>
    <w:p w:rsidR="00DF4C95" w:rsidRDefault="00DF4C95" w:rsidP="00E8179B">
      <w:pPr>
        <w:spacing w:line="360" w:lineRule="auto"/>
      </w:pPr>
    </w:p>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lastRenderedPageBreak/>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Look w:val="04A0" w:firstRow="1" w:lastRow="0" w:firstColumn="1" w:lastColumn="0" w:noHBand="0" w:noVBand="1"/>
      </w:tblPr>
      <w:tblGrid>
        <w:gridCol w:w="1870"/>
        <w:gridCol w:w="1870"/>
        <w:gridCol w:w="1870"/>
        <w:gridCol w:w="1870"/>
        <w:gridCol w:w="1870"/>
      </w:tblGrid>
      <w:tr w:rsidR="00B80288" w:rsidTr="00B8028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B8028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B3738" w:rsidRDefault="005B3738" w:rsidP="00E8179B">
      <w:pPr>
        <w:spacing w:line="360" w:lineRule="auto"/>
      </w:pPr>
    </w:p>
    <w:p w:rsidR="00566B41" w:rsidRDefault="00566B41" w:rsidP="00E8179B">
      <w:pPr>
        <w:spacing w:line="360" w:lineRule="auto"/>
      </w:pPr>
      <w:r>
        <w:t>Rationalization (Removing discontinuities)</w:t>
      </w:r>
      <w:r w:rsidR="00B62F57">
        <w:t>:</w:t>
      </w:r>
      <w:r w:rsidR="006C14E4">
        <w:t xml:space="preserve"> For discontinuities resulting form Points o</w:t>
      </w:r>
      <w:r w:rsidR="00E72A06">
        <w:t>f Discontinuity we may remove discontinuities by simplifying the polynomial and then substituting the x-value of the Point of the Point of Discontinuity into the simplified polynomial to find the lim(x-&gt;x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equivalent for the lim(x-&gt;x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p>
    <w:p w:rsidR="00C57198" w:rsidRDefault="00C57198">
      <w:r>
        <w:br w:type="page"/>
      </w:r>
    </w:p>
    <w:p w:rsidR="00C57198" w:rsidRDefault="000C04EC" w:rsidP="00E8179B">
      <w:pPr>
        <w:spacing w:line="360" w:lineRule="auto"/>
      </w:pPr>
      <w:r>
        <w:lastRenderedPageBreak/>
        <w:t>Sum and Difference Identities:</w:t>
      </w:r>
    </w:p>
    <w:tbl>
      <w:tblPr>
        <w:tblStyle w:val="TableGrid"/>
        <w:tblW w:w="9265" w:type="dxa"/>
        <w:tblLook w:val="04A0" w:firstRow="1" w:lastRow="0" w:firstColumn="1" w:lastColumn="0" w:noHBand="0" w:noVBand="1"/>
      </w:tblPr>
      <w:tblGrid>
        <w:gridCol w:w="2875"/>
        <w:gridCol w:w="3150"/>
        <w:gridCol w:w="3240"/>
      </w:tblGrid>
      <w:tr w:rsidR="00E64D80" w:rsidTr="00E64D80">
        <w:tc>
          <w:tcPr>
            <w:tcW w:w="2875" w:type="dxa"/>
          </w:tcPr>
          <w:p w:rsidR="00E64D80" w:rsidRPr="00E64D80" w:rsidRDefault="00E64D80" w:rsidP="00E8179B">
            <w:pPr>
              <w:spacing w:line="360" w:lineRule="auto"/>
              <w:rPr>
                <w:sz w:val="18"/>
                <w:szCs w:val="18"/>
              </w:rPr>
            </w:pPr>
            <w:r w:rsidRPr="00E64D80">
              <w:rPr>
                <w:sz w:val="18"/>
                <w:szCs w:val="18"/>
              </w:rPr>
              <w:t>cos(a</w:t>
            </w:r>
            <w:r>
              <w:rPr>
                <w:sz w:val="18"/>
                <w:szCs w:val="18"/>
              </w:rPr>
              <w:t>+b) = cos(a)cos(b)-sin(a)sin(b)</w:t>
            </w:r>
          </w:p>
        </w:tc>
        <w:tc>
          <w:tcPr>
            <w:tcW w:w="3150" w:type="dxa"/>
          </w:tcPr>
          <w:p w:rsidR="00E64D80" w:rsidRPr="00E64D80" w:rsidRDefault="00E64D80" w:rsidP="00E8179B">
            <w:pPr>
              <w:spacing w:line="360" w:lineRule="auto"/>
              <w:rPr>
                <w:sz w:val="18"/>
                <w:szCs w:val="18"/>
              </w:rPr>
            </w:pPr>
            <w:r w:rsidRPr="00E64D80">
              <w:rPr>
                <w:sz w:val="18"/>
                <w:szCs w:val="18"/>
              </w:rPr>
              <w:t>sin(a</w:t>
            </w:r>
            <w:r>
              <w:rPr>
                <w:sz w:val="18"/>
                <w:szCs w:val="18"/>
              </w:rPr>
              <w:t>+b) = sin(a)cos(b)+sin(b)cos(a)</w:t>
            </w:r>
          </w:p>
        </w:tc>
        <w:tc>
          <w:tcPr>
            <w:tcW w:w="3240" w:type="dxa"/>
          </w:tcPr>
          <w:p w:rsidR="00E64D80" w:rsidRDefault="00E64D80" w:rsidP="00E8179B">
            <w:pPr>
              <w:spacing w:line="360" w:lineRule="auto"/>
            </w:pPr>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tan⁡</m:t>
                  </m:r>
                  <m:r>
                    <w:rPr>
                      <w:rFonts w:ascii="Cambria Math" w:hAnsi="Cambria Math"/>
                    </w:rPr>
                    <m:t>(b)</m:t>
                  </m:r>
                </m:num>
                <m:den>
                  <m:r>
                    <w:rPr>
                      <w:rFonts w:ascii="Cambria Math" w:hAnsi="Cambria Math"/>
                    </w:rPr>
                    <m:t>1-</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a</m:t>
                          </m:r>
                        </m:e>
                      </m:d>
                    </m:e>
                  </m:func>
                  <m:r>
                    <m:rPr>
                      <m:sty m:val="p"/>
                    </m:rPr>
                    <w:rPr>
                      <w:rFonts w:ascii="Cambria Math" w:hAnsi="Cambria Math"/>
                    </w:rPr>
                    <m:t>tan⁡</m:t>
                  </m:r>
                  <m:r>
                    <w:rPr>
                      <w:rFonts w:ascii="Cambria Math" w:hAnsi="Cambria Math"/>
                    </w:rPr>
                    <m:t>(b)</m:t>
                  </m:r>
                </m:den>
              </m:f>
            </m:oMath>
            <w:r>
              <w:t xml:space="preserve">                                                                                                                                     </w:t>
            </w:r>
          </w:p>
        </w:tc>
      </w:tr>
      <w:tr w:rsidR="00E64D80" w:rsidTr="00E64D80">
        <w:tc>
          <w:tcPr>
            <w:tcW w:w="2875" w:type="dxa"/>
          </w:tcPr>
          <w:p w:rsidR="00E64D80" w:rsidRPr="00E64D80" w:rsidRDefault="00E64D80" w:rsidP="00E8179B">
            <w:pPr>
              <w:spacing w:line="360" w:lineRule="auto"/>
              <w:rPr>
                <w:sz w:val="18"/>
                <w:szCs w:val="18"/>
              </w:rPr>
            </w:pPr>
            <w:r w:rsidRPr="00E64D80">
              <w:rPr>
                <w:sz w:val="18"/>
                <w:szCs w:val="18"/>
              </w:rPr>
              <w:t>cos(a</w:t>
            </w:r>
            <w:r>
              <w:rPr>
                <w:sz w:val="18"/>
                <w:szCs w:val="18"/>
              </w:rPr>
              <w:t>-b) = cos(a)cob(b)+sin(a)sin(b)</w:t>
            </w:r>
          </w:p>
        </w:tc>
        <w:tc>
          <w:tcPr>
            <w:tcW w:w="3150" w:type="dxa"/>
          </w:tcPr>
          <w:p w:rsidR="00E64D80" w:rsidRDefault="00E64D80" w:rsidP="00E8179B">
            <w:pPr>
              <w:spacing w:line="360" w:lineRule="auto"/>
            </w:pPr>
            <w:r w:rsidRPr="00E64D80">
              <w:rPr>
                <w:sz w:val="18"/>
                <w:szCs w:val="18"/>
              </w:rPr>
              <w:t xml:space="preserve">sin(a-b) = sin(a)cos(b)-sin(b)cos(a)              </w:t>
            </w:r>
            <m:oMath>
              <m:r>
                <w:rPr>
                  <w:rFonts w:ascii="Cambria Math" w:hAnsi="Cambria Math"/>
                </w:rPr>
                <w:br/>
              </m:r>
            </m:oMath>
            <w:r w:rsidRPr="00E64D80">
              <w:rPr>
                <w:sz w:val="18"/>
                <w:szCs w:val="18"/>
              </w:rPr>
              <w:t xml:space="preserve">                                                                                                    </w:t>
            </w:r>
          </w:p>
        </w:tc>
        <w:tc>
          <w:tcPr>
            <w:tcW w:w="3240" w:type="dxa"/>
          </w:tcPr>
          <w:p w:rsidR="00E64D80" w:rsidRDefault="00E64D80" w:rsidP="00E64D80">
            <w:pPr>
              <w:spacing w:line="360" w:lineRule="auto"/>
            </w:pPr>
            <m:oMathPara>
              <m:oMath>
                <m:func>
                  <m:funcPr>
                    <m:ctrlPr>
                      <w:rPr>
                        <w:rFonts w:ascii="Cambria Math" w:hAnsi="Cambria Math"/>
                        <w:i/>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w:rPr>
                            <w:rFonts w:ascii="Cambria Math" w:hAnsi="Cambria Math"/>
                            <w:sz w:val="18"/>
                            <w:szCs w:val="18"/>
                          </w:rPr>
                          <m:t>-</m:t>
                        </m:r>
                        <m:r>
                          <m:rPr>
                            <m:sty m:val="p"/>
                          </m:rPr>
                          <w:rPr>
                            <w:rFonts w:ascii="Cambria Math" w:hAnsi="Cambria Math"/>
                            <w:sz w:val="18"/>
                            <w:szCs w:val="18"/>
                          </w:rPr>
                          <m:t>tan⁡</m:t>
                        </m:r>
                        <m:r>
                          <w:rPr>
                            <w:rFonts w:ascii="Cambria Math" w:hAnsi="Cambria Math"/>
                            <w:sz w:val="18"/>
                            <w:szCs w:val="18"/>
                          </w:rPr>
                          <m:t>(b)</m:t>
                        </m:r>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m:rPr>
                            <m:sty m:val="p"/>
                          </m:rPr>
                          <w:rPr>
                            <w:rFonts w:ascii="Cambria Math" w:hAnsi="Cambria Math"/>
                            <w:sz w:val="18"/>
                            <w:szCs w:val="18"/>
                          </w:rPr>
                          <m:t>tan⁡</m:t>
                        </m:r>
                        <m:r>
                          <w:rPr>
                            <w:rFonts w:ascii="Cambria Math" w:hAnsi="Cambria Math"/>
                            <w:sz w:val="18"/>
                            <w:szCs w:val="18"/>
                          </w:rPr>
                          <m:t>(b)</m:t>
                        </m:r>
                      </m:den>
                    </m:f>
                  </m:e>
                </m:func>
              </m:oMath>
            </m:oMathPara>
          </w:p>
          <w:p w:rsidR="00E64D80" w:rsidRDefault="00E64D80" w:rsidP="00E8179B">
            <w:pPr>
              <w:spacing w:line="360" w:lineRule="auto"/>
            </w:pPr>
          </w:p>
        </w:tc>
      </w:tr>
    </w:tbl>
    <w:p w:rsidR="000C04EC" w:rsidRDefault="000C04EC" w:rsidP="00E8179B">
      <w:pPr>
        <w:spacing w:line="360" w:lineRule="auto"/>
        <w:rPr>
          <w:rFonts w:ascii="Times New Roman"/>
        </w:rPr>
      </w:pPr>
      <w:r>
        <w:t xml:space="preserve">Law of Sines: Given </w:t>
      </w:r>
      <w:r>
        <w:rPr>
          <w:rFonts w:ascii="Times New Roman"/>
        </w:rPr>
        <w:t xml:space="preserve">▲ABC with sides a, b, and c corresponding to the sides opposite the angles A, B, and C respectively, we can say that </w:t>
      </w:r>
      <m:oMath>
        <m:f>
          <m:fPr>
            <m:ctrlPr>
              <w:rPr>
                <w:rFonts w:ascii="Cambria Math" w:hAnsi="Cambria Math"/>
                <w:i/>
              </w:rPr>
            </m:ctrlPr>
          </m:fPr>
          <m:num>
            <m:r>
              <m:rPr>
                <m:sty m:val="p"/>
              </m:rPr>
              <w:rPr>
                <w:rFonts w:ascii="Cambria Math" w:hAnsi="Cambria Math"/>
              </w:rPr>
              <m:t>sin⁡</m:t>
            </m:r>
            <m:r>
              <w:rPr>
                <w:rFonts w:ascii="Cambria Math" w:hAnsi="Cambria Math"/>
              </w:rPr>
              <m:t>(A)</m:t>
            </m:r>
          </m:num>
          <m:den>
            <m:r>
              <w:rPr>
                <w:rFonts w:ascii="Cambria Math" w:hAnsi="Cambria Math"/>
              </w:rPr>
              <m:t>a</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(C)</m:t>
            </m:r>
          </m:num>
          <m:den>
            <m:r>
              <w:rPr>
                <w:rFonts w:ascii="Cambria Math" w:hAnsi="Cambria Math"/>
              </w:rPr>
              <m:t>c</m:t>
            </m:r>
          </m:den>
        </m:f>
      </m:oMath>
      <w:r>
        <w:rPr>
          <w:rFonts w:ascii="Times New Roman"/>
        </w:rPr>
        <w:t>.</w:t>
      </w:r>
    </w:p>
    <w:p w:rsidR="000C04EC" w:rsidRDefault="000C04EC" w:rsidP="00E8179B">
      <w:pPr>
        <w:spacing w:line="360" w:lineRule="auto"/>
        <w:rPr>
          <w:rFonts w:ascii="Times New Roman"/>
        </w:rPr>
      </w:pPr>
      <w:r>
        <w:rPr>
          <w:rFonts w:ascii="Times New Roman"/>
        </w:rPr>
        <w:t>Half Angle Identities:</w:t>
      </w:r>
    </w:p>
    <w:tbl>
      <w:tblPr>
        <w:tblStyle w:val="TableGrid"/>
        <w:tblW w:w="0" w:type="auto"/>
        <w:tblLook w:val="04A0" w:firstRow="1" w:lastRow="0" w:firstColumn="1" w:lastColumn="0" w:noHBand="0" w:noVBand="1"/>
      </w:tblPr>
      <w:tblGrid>
        <w:gridCol w:w="3116"/>
        <w:gridCol w:w="1649"/>
        <w:gridCol w:w="1468"/>
        <w:gridCol w:w="3117"/>
      </w:tblGrid>
      <w:tr w:rsidR="00965D05" w:rsidTr="00965D05">
        <w:tc>
          <w:tcPr>
            <w:tcW w:w="4765" w:type="dxa"/>
            <w:gridSpan w:val="2"/>
          </w:tcPr>
          <w:p w:rsidR="00965D05" w:rsidRDefault="00965D05"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cos</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c>
          <w:tcPr>
            <w:tcW w:w="4585" w:type="dxa"/>
            <w:gridSpan w:val="2"/>
          </w:tcPr>
          <w:p w:rsidR="00965D05" w:rsidRDefault="00965D05"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sin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r>
      <w:tr w:rsidR="00965D05" w:rsidTr="00965D05">
        <w:tc>
          <w:tcPr>
            <w:tcW w:w="3116" w:type="dxa"/>
          </w:tcPr>
          <w:p w:rsidR="00965D05" w:rsidRDefault="00965D05"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e>
                </m:rad>
              </m:oMath>
            </m:oMathPara>
          </w:p>
        </w:tc>
        <w:tc>
          <w:tcPr>
            <w:tcW w:w="3117" w:type="dxa"/>
            <w:gridSpan w:val="2"/>
          </w:tcPr>
          <w:p w:rsidR="00965D05" w:rsidRDefault="00965D05"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m:rPr>
                        <m:sty m:val="p"/>
                      </m:rPr>
                      <w:rPr>
                        <w:rFonts w:ascii="Cambria Math" w:hAnsi="Cambria Math" w:cs="Nirmala UI"/>
                      </w:rPr>
                      <m:t>sin⁡</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oMath>
            </m:oMathPara>
          </w:p>
        </w:tc>
        <w:tc>
          <w:tcPr>
            <w:tcW w:w="3117" w:type="dxa"/>
          </w:tcPr>
          <w:p w:rsidR="00965D05" w:rsidRDefault="00965D05"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m:rPr>
                        <m:sty m:val="p"/>
                      </m:rPr>
                      <w:rPr>
                        <w:rFonts w:ascii="Cambria Math" w:hAnsi="Cambria Math" w:cs="Nirmala UI"/>
                      </w:rPr>
                      <m:t>sin⁡</m:t>
                    </m:r>
                    <m:r>
                      <w:rPr>
                        <w:rFonts w:ascii="Cambria Math" w:hAnsi="Cambria Math" w:cs="Nirmala UI"/>
                      </w:rPr>
                      <m:t>(x)</m:t>
                    </m:r>
                  </m:den>
                </m:f>
              </m:oMath>
            </m:oMathPara>
          </w:p>
        </w:tc>
      </w:tr>
    </w:tbl>
    <w:p w:rsidR="00965D05" w:rsidRDefault="0023620D" w:rsidP="00E8179B">
      <w:pPr>
        <w:spacing w:line="360" w:lineRule="auto"/>
        <w:rPr>
          <w:rFonts w:ascii="Nirmala UI" w:hAnsi="Nirmala UI" w:cs="Nirmala UI"/>
        </w:rPr>
      </w:pPr>
      <w:r>
        <w:rPr>
          <w:rFonts w:ascii="Nirmala UI" w:hAnsi="Nirmala UI" w:cs="Nirmala UI"/>
        </w:rPr>
        <w:t>SSA Number of Triangles/Solution Sets</w:t>
      </w:r>
    </w:p>
    <w:tbl>
      <w:tblPr>
        <w:tblStyle w:val="TableGrid"/>
        <w:tblW w:w="0" w:type="auto"/>
        <w:tblLook w:val="04A0" w:firstRow="1" w:lastRow="0" w:firstColumn="1" w:lastColumn="0" w:noHBand="0" w:noVBand="1"/>
      </w:tblPr>
      <w:tblGrid>
        <w:gridCol w:w="1795"/>
        <w:gridCol w:w="7555"/>
      </w:tblGrid>
      <w:tr w:rsidR="0023620D" w:rsidTr="008B786B">
        <w:tc>
          <w:tcPr>
            <w:tcW w:w="9350" w:type="dxa"/>
            <w:gridSpan w:val="2"/>
          </w:tcPr>
          <w:p w:rsidR="0023620D" w:rsidRDefault="0023620D" w:rsidP="0023620D">
            <w:pPr>
              <w:spacing w:line="360" w:lineRule="auto"/>
              <w:jc w:val="center"/>
              <w:rPr>
                <w:rFonts w:ascii="Nirmala UI" w:hAnsi="Nirmala UI" w:cs="Nirmala UI"/>
              </w:rPr>
            </w:pPr>
            <w:r>
              <w:rPr>
                <w:rFonts w:ascii="Nirmala UI" w:hAnsi="Nirmala UI" w:cs="Nirmala UI"/>
              </w:rPr>
              <w:t>If A&lt;90°</w:t>
            </w:r>
          </w:p>
        </w:tc>
      </w:tr>
      <w:tr w:rsidR="0023620D" w:rsidTr="003C51C9">
        <w:tc>
          <w:tcPr>
            <w:tcW w:w="1795" w:type="dxa"/>
          </w:tcPr>
          <w:p w:rsidR="0023620D" w:rsidRDefault="0023620D"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sin(B)&gt;1 &amp; a&lt;h&lt;b</w:t>
            </w:r>
          </w:p>
        </w:tc>
      </w:tr>
      <w:tr w:rsidR="0023620D" w:rsidTr="003C51C9">
        <w:tc>
          <w:tcPr>
            <w:tcW w:w="1795" w:type="dxa"/>
          </w:tcPr>
          <w:p w:rsidR="0023620D" w:rsidRDefault="0023620D" w:rsidP="00E8179B">
            <w:pPr>
              <w:spacing w:line="360" w:lineRule="auto"/>
              <w:rPr>
                <w:rFonts w:ascii="Nirmala UI" w:hAnsi="Nirmala UI" w:cs="Nirmala UI"/>
              </w:rPr>
            </w:pPr>
            <w:r>
              <w:rPr>
                <w:rFonts w:ascii="Nirmala UI" w:hAnsi="Nirmala UI" w:cs="Nirmala UI"/>
              </w:rPr>
              <w:t xml:space="preserve">1 </w:t>
            </w:r>
            <w:r w:rsidR="003C51C9">
              <w:rPr>
                <w:rFonts w:ascii="Nirmala UI" w:hAnsi="Nirmala UI" w:cs="Nirmala UI"/>
              </w:rPr>
              <w:t xml:space="preserve">(right) </w:t>
            </w:r>
            <w:r>
              <w:rPr>
                <w:rFonts w:ascii="Nirmala UI" w:hAnsi="Nirmala UI" w:cs="Nirmala UI"/>
              </w:rPr>
              <w:t>triangle</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sin(B)=1 &amp; a=h &amp; h&lt;b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Pr="003C51C9" w:rsidRDefault="003C51C9" w:rsidP="00E8179B">
            <w:pPr>
              <w:spacing w:line="360" w:lineRule="auto"/>
              <w:rPr>
                <w:rFonts w:ascii="Arial" w:hAnsi="Arial" w:cs="Arial" w:hint="eastAsia"/>
                <w:lang w:eastAsia="zh-CN"/>
              </w:rPr>
            </w:pPr>
            <w:r>
              <w:rPr>
                <w:rFonts w:ascii="Nirmala UI" w:hAnsi="Nirmala UI" w:cs="Nirmala UI"/>
              </w:rPr>
              <w:t xml:space="preserve">0&lt;sin(B)&lt;1 &amp; a </w:t>
            </w:r>
            <w:r>
              <w:rPr>
                <w:rFonts w:ascii="Arial" w:eastAsia="Times New Roman" w:hAnsi="Arial" w:cs="Arial" w:hint="eastAsia"/>
                <w:lang w:eastAsia="zh-CN"/>
              </w:rPr>
              <w:t>≥</w:t>
            </w:r>
            <w:r>
              <w:rPr>
                <w:rFonts w:ascii="Arial" w:eastAsia="Times New Roman" w:hAnsi="Arial" w:cs="Arial"/>
                <w:lang w:eastAsia="zh-CN"/>
              </w:rPr>
              <w:t xml:space="preserve">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2 triangles</w:t>
            </w:r>
          </w:p>
        </w:tc>
        <w:tc>
          <w:tcPr>
            <w:tcW w:w="7555" w:type="dxa"/>
          </w:tcPr>
          <w:p w:rsidR="0023620D" w:rsidRPr="003C51C9" w:rsidRDefault="003C51C9" w:rsidP="00E8179B">
            <w:pPr>
              <w:spacing w:line="360" w:lineRule="auto"/>
              <w:rPr>
                <w:rFonts w:ascii="Nirmala UI" w:hAnsi="Nirmala UI" w:cs="Nirmala UI"/>
              </w:rPr>
            </w:pPr>
            <w:r>
              <w:rPr>
                <w:rFonts w:ascii="Nirmala UI" w:hAnsi="Nirmala UI" w:cs="Nirmala UI"/>
              </w:rPr>
              <w:t>0&lt;sin(B</w:t>
            </w:r>
            <w:r>
              <w:rPr>
                <w:rFonts w:ascii="Nirmala UI" w:hAnsi="Nirmala UI" w:cs="Nirmala UI"/>
                <w:vertAlign w:val="subscript"/>
              </w:rPr>
              <w:t>2</w:t>
            </w:r>
            <w:r>
              <w:rPr>
                <w:rFonts w:ascii="Nirmala UI" w:hAnsi="Nirmala UI" w:cs="Nirmala UI"/>
              </w:rPr>
              <w:t>)&lt;1 &amp; h&lt;a&lt;b</w:t>
            </w:r>
          </w:p>
        </w:tc>
      </w:tr>
      <w:tr w:rsidR="003C51C9" w:rsidTr="00EA1C9C">
        <w:tc>
          <w:tcPr>
            <w:tcW w:w="9350" w:type="dxa"/>
            <w:gridSpan w:val="2"/>
          </w:tcPr>
          <w:p w:rsidR="003C51C9" w:rsidRDefault="003C51C9" w:rsidP="003C51C9">
            <w:pPr>
              <w:spacing w:line="360" w:lineRule="auto"/>
              <w:jc w:val="center"/>
              <w:rPr>
                <w:rFonts w:ascii="Nirmala UI" w:hAnsi="Nirmala UI" w:cs="Nirmala UI"/>
              </w:rPr>
            </w:pPr>
            <w:r>
              <w:rPr>
                <w:rFonts w:ascii="Nirmala UI" w:hAnsi="Nirmala UI" w:cs="Nirmala UI"/>
              </w:rPr>
              <w:t>If A&gt;90°</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Pr="003C51C9" w:rsidRDefault="003C51C9" w:rsidP="00E8179B">
            <w:pPr>
              <w:spacing w:line="360" w:lineRule="auto"/>
              <w:rPr>
                <w:rFonts w:ascii="Arial" w:hAnsi="Arial" w:cs="Arial"/>
                <w:lang w:val="en-US" w:eastAsia="zh-CN"/>
              </w:rPr>
            </w:pPr>
            <w:r>
              <w:rPr>
                <w:rFonts w:ascii="Nirmala UI" w:hAnsi="Nirmala UI" w:cs="Nirmala UI"/>
              </w:rPr>
              <w:t xml:space="preserve">sin(B) </w:t>
            </w:r>
            <w:r>
              <w:rPr>
                <w:rFonts w:ascii="Arial" w:hAnsi="Arial" w:cs="Arial"/>
                <w:lang w:val="en-US" w:eastAsia="zh-CN"/>
              </w:rPr>
              <w:t>≥ 1 &amp; a ≤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Default="003C51C9" w:rsidP="00E8179B">
            <w:pPr>
              <w:spacing w:line="360" w:lineRule="auto"/>
              <w:rPr>
                <w:rFonts w:ascii="Nirmala UI" w:hAnsi="Nirmala UI" w:cs="Nirmala UI"/>
              </w:rPr>
            </w:pPr>
            <w:r>
              <w:rPr>
                <w:rFonts w:ascii="Nirmala UI" w:hAnsi="Nirmala UI" w:cs="Nirmala UI"/>
              </w:rPr>
              <w:t>0&lt;sin(B)&lt;1 &amp; a &gt;b</w:t>
            </w:r>
          </w:p>
        </w:tc>
      </w:tr>
    </w:tbl>
    <w:p w:rsidR="003B1AE5" w:rsidRDefault="003B1AE5" w:rsidP="00E8179B">
      <w:pPr>
        <w:spacing w:line="360" w:lineRule="auto"/>
        <w:rPr>
          <w:rFonts w:ascii="Nirmala UI" w:hAnsi="Nirmala UI" w:cs="Nirmala UI"/>
        </w:rPr>
      </w:pPr>
      <w:r>
        <w:rPr>
          <w:rFonts w:ascii="Nirmala UI" w:hAnsi="Nirmala UI" w:cs="Nirmala UI"/>
        </w:rPr>
        <w:t xml:space="preserve">Matrix: A system of arraigning systems of equations into a box, usually with variables on the left and a constant on the right. As illustrated on the right. </w:t>
      </w:r>
      <m:oMath>
        <m:m>
          <m:mPr>
            <m:mcs>
              <m:mc>
                <m:mcPr>
                  <m:count m:val="3"/>
                  <m:mcJc m:val="center"/>
                </m:mcPr>
              </m:mc>
            </m:mcs>
            <m:ctrlPr>
              <w:rPr>
                <w:rFonts w:ascii="Cambria Math" w:hAnsi="Cambria Math" w:cs="Nirmala UI"/>
                <w:i/>
              </w:rPr>
            </m:ctrlPr>
          </m:mPr>
          <m:mr>
            <m:e>
              <m:r>
                <w:rPr>
                  <w:rFonts w:ascii="Cambria Math" w:hAnsi="Cambria Math" w:cs="Nirmala UI"/>
                </w:rPr>
                <m:t>3</m:t>
              </m:r>
            </m:e>
            <m:e>
              <m:r>
                <w:rPr>
                  <w:rFonts w:ascii="Cambria Math" w:hAnsi="Cambria Math" w:cs="Nirmala UI"/>
                </w:rPr>
                <m:t>0</m:t>
              </m:r>
            </m:e>
            <m:e>
              <m:r>
                <w:rPr>
                  <w:rFonts w:ascii="Cambria Math" w:hAnsi="Cambria Math" w:cs="Nirmala UI"/>
                </w:rPr>
                <m:t>1</m:t>
              </m:r>
            </m:e>
          </m:mr>
          <m:mr>
            <m:e>
              <m:r>
                <w:rPr>
                  <w:rFonts w:ascii="Cambria Math" w:hAnsi="Cambria Math" w:cs="Nirmala UI"/>
                </w:rPr>
                <m:t>-1</m:t>
              </m:r>
            </m:e>
            <m:e>
              <m:r>
                <w:rPr>
                  <w:rFonts w:ascii="Cambria Math" w:hAnsi="Cambria Math" w:cs="Nirmala UI"/>
                </w:rPr>
                <m:t>-2</m:t>
              </m:r>
            </m:e>
            <m:e>
              <m:r>
                <w:rPr>
                  <w:rFonts w:ascii="Cambria Math" w:hAnsi="Cambria Math" w:cs="Nirmala UI"/>
                </w:rPr>
                <m:t>3</m:t>
              </m:r>
            </m:e>
          </m:mr>
          <m:mr>
            <m:e>
              <m:r>
                <w:rPr>
                  <w:rFonts w:ascii="Cambria Math" w:hAnsi="Cambria Math" w:cs="Nirmala UI"/>
                </w:rPr>
                <m:t>4</m:t>
              </m:r>
            </m:e>
            <m:e>
              <m:r>
                <w:rPr>
                  <w:rFonts w:ascii="Cambria Math" w:hAnsi="Cambria Math" w:cs="Nirmala UI"/>
                </w:rPr>
                <m:t>2</m:t>
              </m:r>
            </m:e>
            <m:e>
              <m:r>
                <w:rPr>
                  <w:rFonts w:ascii="Cambria Math" w:hAnsi="Cambria Math" w:cs="Nirmala UI"/>
                </w:rPr>
                <m:t>1</m:t>
              </m:r>
            </m:e>
          </m:mr>
        </m:m>
        <m:r>
          <w:rPr>
            <w:rFonts w:ascii="Cambria Math" w:hAnsi="Cambria Math" w:cs="Nirmala UI"/>
          </w:rPr>
          <m:t xml:space="preserve">    </m:t>
        </m:r>
        <m:m>
          <m:mPr>
            <m:mcs>
              <m:mc>
                <m:mcPr>
                  <m:count m:val="1"/>
                  <m:mcJc m:val="center"/>
                </m:mcPr>
              </m:mc>
            </m:mcs>
            <m:ctrlPr>
              <w:rPr>
                <w:rFonts w:ascii="Cambria Math" w:hAnsi="Cambria Math" w:cs="Nirmala UI"/>
                <w:i/>
              </w:rPr>
            </m:ctrlPr>
          </m:mPr>
          <m:mr>
            <m:e>
              <m:r>
                <w:rPr>
                  <w:rFonts w:ascii="Cambria Math" w:hAnsi="Cambria Math" w:cs="Nirmala UI"/>
                </w:rPr>
                <m:t>4</m:t>
              </m:r>
            </m:e>
          </m:mr>
          <m:mr>
            <m:e>
              <m:r>
                <w:rPr>
                  <w:rFonts w:ascii="Cambria Math" w:hAnsi="Cambria Math" w:cs="Nirmala UI"/>
                </w:rPr>
                <m:t>-6</m:t>
              </m:r>
            </m:e>
          </m:mr>
          <m:mr>
            <m:e>
              <m:r>
                <w:rPr>
                  <w:rFonts w:ascii="Cambria Math" w:hAnsi="Cambria Math" w:cs="Nirmala UI"/>
                </w:rPr>
                <m:t>0</m:t>
              </m:r>
            </m:e>
          </m:mr>
        </m:m>
      </m:oMath>
    </w:p>
    <w:p w:rsidR="001F53C8" w:rsidRDefault="001F53C8">
      <w:pPr>
        <w:rPr>
          <w:rFonts w:ascii="Nirmala UI" w:hAnsi="Nirmala UI" w:cs="Nirmala UI"/>
        </w:rPr>
      </w:pPr>
      <w:r>
        <w:rPr>
          <w:rFonts w:ascii="Nirmala UI" w:hAnsi="Nirmala UI" w:cs="Nirmala UI"/>
        </w:rPr>
        <w:br w:type="page"/>
      </w:r>
    </w:p>
    <w:p w:rsidR="003B1AE5" w:rsidRDefault="003B1AE5" w:rsidP="00E8179B">
      <w:pPr>
        <w:spacing w:line="360" w:lineRule="auto"/>
        <w:rPr>
          <w:rFonts w:ascii="Nirmala UI" w:hAnsi="Nirmala UI" w:cs="Nirmala UI"/>
        </w:rPr>
      </w:pPr>
      <w:r>
        <w:rPr>
          <w:rFonts w:ascii="Nirmala UI" w:hAnsi="Nirmala UI" w:cs="Nirmala UI"/>
        </w:rPr>
        <w:lastRenderedPageBreak/>
        <w:t>Matrix Row Transformations: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Interchange any two rows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Multiply and divide the elements of any row by a non-zero real number</w:t>
      </w:r>
    </w:p>
    <w:p w:rsidR="00D76087" w:rsidRDefault="00D76087" w:rsidP="00D76087">
      <w:pPr>
        <w:pStyle w:val="ListParagraph"/>
        <w:numPr>
          <w:ilvl w:val="0"/>
          <w:numId w:val="2"/>
        </w:numPr>
        <w:spacing w:line="360" w:lineRule="auto"/>
        <w:rPr>
          <w:rFonts w:ascii="Nirmala UI" w:hAnsi="Nirmala UI" w:cs="Nirmala UI"/>
        </w:rPr>
      </w:pPr>
      <w:r>
        <w:rPr>
          <w:rFonts w:ascii="Nirmala UI" w:hAnsi="Nirmala UI" w:cs="Nirmala UI"/>
        </w:rPr>
        <w:t xml:space="preserve">Replace any row of the matrix by the sum of the elements of that row and a multiple of the elements of another row. </w:t>
      </w:r>
    </w:p>
    <w:p w:rsidR="00270F72" w:rsidRDefault="00D76087" w:rsidP="00D76087">
      <w:pPr>
        <w:spacing w:line="360" w:lineRule="auto"/>
        <w:rPr>
          <w:rFonts w:ascii="Nirmala UI" w:hAnsi="Nirmala UI" w:cs="Nirmala UI"/>
        </w:rPr>
      </w:pPr>
      <w:r>
        <w:rPr>
          <w:rFonts w:ascii="Nirmala UI" w:hAnsi="Nirmala UI" w:cs="Nirmala UI"/>
        </w:rPr>
        <w:t>Reduced Row Echelon Form (Diagonal Form): A form of a matrix that involves the</w:t>
      </w:r>
      <m:oMath>
        <m:r>
          <w:rPr>
            <w:rFonts w:ascii="Cambria Math" w:hAnsi="Cambria Math" w:cs="Nirmala UI"/>
          </w:rPr>
          <m:t xml:space="preserve"> </m:t>
        </m:r>
        <m:m>
          <m:mPr>
            <m:mcs>
              <m:mc>
                <m:mcPr>
                  <m:count m:val="3"/>
                  <m:mcJc m:val="center"/>
                </m:mcPr>
              </m:mc>
            </m:mcs>
            <m:ctrlPr>
              <w:rPr>
                <w:rFonts w:ascii="Cambria Math" w:hAnsi="Cambria Math" w:cs="Nirmala UI"/>
                <w:i/>
              </w:rPr>
            </m:ctrlPr>
          </m:mPr>
          <m:mr>
            <m:e>
              <m:r>
                <w:rPr>
                  <w:rFonts w:ascii="Cambria Math" w:hAnsi="Cambria Math" w:cs="Nirmala UI"/>
                </w:rPr>
                <m:t>1</m:t>
              </m:r>
            </m:e>
            <m:e>
              <m:r>
                <w:rPr>
                  <w:rFonts w:ascii="Cambria Math" w:hAnsi="Cambria Math" w:cs="Nirmala UI"/>
                </w:rPr>
                <m:t>0</m:t>
              </m:r>
            </m:e>
            <m:e>
              <m:r>
                <w:rPr>
                  <w:rFonts w:ascii="Cambria Math" w:hAnsi="Cambria Math" w:cs="Nirmala UI"/>
                </w:rPr>
                <m:t>0</m:t>
              </m:r>
            </m:e>
          </m:mr>
          <m:mr>
            <m:e>
              <m:r>
                <w:rPr>
                  <w:rFonts w:ascii="Cambria Math" w:hAnsi="Cambria Math" w:cs="Nirmala UI"/>
                </w:rPr>
                <m:t>0</m:t>
              </m:r>
            </m:e>
            <m:e>
              <m:r>
                <w:rPr>
                  <w:rFonts w:ascii="Cambria Math" w:hAnsi="Cambria Math" w:cs="Nirmala UI"/>
                </w:rPr>
                <m:t>1</m:t>
              </m:r>
            </m:e>
            <m:e>
              <m:r>
                <w:rPr>
                  <w:rFonts w:ascii="Cambria Math" w:hAnsi="Cambria Math" w:cs="Nirmala UI"/>
                </w:rPr>
                <m:t>0</m:t>
              </m:r>
            </m:e>
          </m:mr>
          <m:mr>
            <m:e>
              <m:r>
                <w:rPr>
                  <w:rFonts w:ascii="Cambria Math" w:hAnsi="Cambria Math" w:cs="Nirmala UI"/>
                </w:rPr>
                <m:t>0</m:t>
              </m:r>
            </m:e>
            <m:e>
              <m:r>
                <w:rPr>
                  <w:rFonts w:ascii="Cambria Math" w:hAnsi="Cambria Math" w:cs="Nirmala UI"/>
                </w:rPr>
                <m:t>0</m:t>
              </m:r>
            </m:e>
            <m:e>
              <m:r>
                <w:rPr>
                  <w:rFonts w:ascii="Cambria Math" w:hAnsi="Cambria Math" w:cs="Nirmala UI"/>
                </w:rPr>
                <m:t>1</m:t>
              </m:r>
            </m:e>
          </m:mr>
        </m:m>
      </m:oMath>
      <w:r>
        <w:rPr>
          <w:rFonts w:ascii="Nirmala UI" w:hAnsi="Nirmala UI" w:cs="Nirmala UI"/>
        </w:rPr>
        <w:t xml:space="preserve"> values of rows being set in a diagonal pattern as shown on the left. It is very useful for solving matrices.</w:t>
      </w:r>
    </w:p>
    <w:p w:rsidR="00270F72" w:rsidRDefault="00270F72" w:rsidP="00D76087">
      <w:pPr>
        <w:spacing w:line="360" w:lineRule="auto"/>
        <w:rPr>
          <w:rFonts w:ascii="Nirmala UI" w:hAnsi="Nirmala UI" w:cs="Nirmala UI"/>
        </w:rPr>
      </w:pPr>
      <w:r>
        <w:rPr>
          <w:rFonts w:ascii="Nirmala UI" w:hAnsi="Nirmala UI" w:cs="Nirmala UI"/>
        </w:rPr>
        <w:t>Gauss-Jordan Method: A method of placing matrices in reduced echelon form by moving column by column and obtaining the necessary values through matrix row transformations.</w:t>
      </w:r>
    </w:p>
    <w:p w:rsidR="0027774E" w:rsidRDefault="0027774E" w:rsidP="00D76087">
      <w:pPr>
        <w:spacing w:line="360" w:lineRule="auto"/>
        <w:rPr>
          <w:rFonts w:ascii="Nirmala UI" w:hAnsi="Nirmala UI" w:cs="Nirmala UI"/>
        </w:rPr>
      </w:pPr>
      <w:r>
        <w:rPr>
          <w:rFonts w:ascii="Nirmala UI" w:hAnsi="Nirmala UI" w:cs="Nirmala UI"/>
        </w:rPr>
        <w:t># of Solutions of a Matrix</w:t>
      </w:r>
    </w:p>
    <w:p w:rsidR="0027774E"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the number of rows with non-zero elements to the left of the constants is equal to the number of variables in the system then the system has 1 solution.</w:t>
      </w:r>
    </w:p>
    <w:p w:rsidR="0027774E" w:rsidRPr="002B5DB5"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one of the rows has the form [0,0…,0|a</w:t>
      </w:r>
      <w:r w:rsidR="002B5DB5">
        <w:rPr>
          <w:rFonts w:ascii="Nirmala UI" w:hAnsi="Nirmala UI" w:cs="Nirmala UI"/>
        </w:rPr>
        <w:t>] with a</w:t>
      </w:r>
      <w:r w:rsidR="002B5DB5">
        <w:rPr>
          <w:rFonts w:ascii="Calibri" w:hAnsi="Calibri" w:cs="Nirmala UI"/>
        </w:rPr>
        <w:t>≠0</w:t>
      </w:r>
    </w:p>
    <w:p w:rsidR="002B5DB5" w:rsidRPr="002B5DB5" w:rsidRDefault="002B5DB5" w:rsidP="0027774E">
      <w:pPr>
        <w:pStyle w:val="ListParagraph"/>
        <w:numPr>
          <w:ilvl w:val="0"/>
          <w:numId w:val="4"/>
        </w:numPr>
        <w:spacing w:line="360" w:lineRule="auto"/>
        <w:rPr>
          <w:rFonts w:ascii="Nirmala UI" w:hAnsi="Nirmala UI" w:cs="Nirmala UI"/>
        </w:rPr>
      </w:pPr>
      <w:r>
        <w:rPr>
          <w:rFonts w:ascii="Calibri" w:hAnsi="Calibri" w:cs="Nirmala UI"/>
        </w:rPr>
        <w:t>If there are fewer rows in the matrix containing non-zero elements than the number of variables then the system has no solution or infinite solutions. If infinite express with regards to one variable i.e. {x,2x}</w:t>
      </w:r>
    </w:p>
    <w:p w:rsidR="002B5DB5" w:rsidRDefault="002B5DB5" w:rsidP="002B5DB5">
      <w:pPr>
        <w:spacing w:line="360" w:lineRule="auto"/>
        <w:rPr>
          <w:rFonts w:ascii="Nirmala UI" w:hAnsi="Nirmala UI" w:cs="Nirmala UI"/>
        </w:rPr>
      </w:pPr>
      <w:r>
        <w:rPr>
          <w:rFonts w:ascii="Nirmala UI" w:hAnsi="Nirmala UI" w:cs="Nirmala UI"/>
        </w:rPr>
        <w:t>Determinants of Matrices: For every matrix of form n×n, there exists a number called the determinant, if the matrix is named A then its determinant is expressed as |A| - not to be confused with the absolute value of variable A.</w:t>
      </w:r>
    </w:p>
    <w:p w:rsidR="00475357" w:rsidRDefault="00AF07EC" w:rsidP="002B5DB5">
      <w:pPr>
        <w:spacing w:line="360" w:lineRule="auto"/>
        <w:rPr>
          <w:rFonts w:ascii="Nirmala UI" w:hAnsi="Nirmala UI" w:cs="Nirmala UI"/>
        </w:rPr>
      </w:pPr>
      <w:r>
        <w:rPr>
          <w:rFonts w:ascii="Nirmala UI" w:hAnsi="Nirmala UI" w:cs="Nirmala UI"/>
        </w:rPr>
        <w:t>Determinant of a 2×2 Matrix: Given a matrix A, and its values a</w:t>
      </w:r>
      <w:r>
        <w:rPr>
          <w:rFonts w:ascii="Nirmala UI" w:hAnsi="Nirmala UI" w:cs="Nirmala UI"/>
          <w:vertAlign w:val="subscript"/>
        </w:rPr>
        <w:t>11</w:t>
      </w:r>
      <w:r>
        <w:rPr>
          <w:rFonts w:ascii="Nirmala UI" w:hAnsi="Nirmala UI" w:cs="Nirmala UI"/>
        </w:rPr>
        <w:t xml:space="preserve"> a</w:t>
      </w:r>
      <w:r>
        <w:rPr>
          <w:rFonts w:ascii="Nirmala UI" w:hAnsi="Nirmala UI" w:cs="Nirmala UI"/>
          <w:vertAlign w:val="subscript"/>
        </w:rPr>
        <w:t>12</w:t>
      </w:r>
      <w:r>
        <w:rPr>
          <w:rFonts w:ascii="Nirmala UI" w:hAnsi="Nirmala UI" w:cs="Nirmala UI"/>
        </w:rPr>
        <w:t xml:space="preserve"> a</w:t>
      </w:r>
      <w:r>
        <w:rPr>
          <w:rFonts w:ascii="Nirmala UI" w:hAnsi="Nirmala UI" w:cs="Nirmala UI"/>
          <w:vertAlign w:val="subscript"/>
        </w:rPr>
        <w:t>21</w:t>
      </w:r>
      <w:r>
        <w:rPr>
          <w:rFonts w:ascii="Nirmala UI" w:hAnsi="Nirmala UI" w:cs="Nirmala UI"/>
        </w:rPr>
        <w:t xml:space="preserve"> a</w:t>
      </w:r>
      <w:r>
        <w:rPr>
          <w:rFonts w:ascii="Nirmala UI" w:hAnsi="Nirmala UI" w:cs="Nirmala UI"/>
          <w:vertAlign w:val="subscript"/>
        </w:rPr>
        <w:t>22</w:t>
      </w:r>
      <w:r>
        <w:rPr>
          <w:rFonts w:ascii="Nirmala UI" w:hAnsi="Nirmala UI" w:cs="Nirmala UI"/>
        </w:rPr>
        <w:t xml:space="preserve"> </w:t>
      </w:r>
      <w:r w:rsidR="00475357">
        <w:rPr>
          <w:rFonts w:ascii="Nirmala UI" w:hAnsi="Nirmala UI" w:cs="Nirmala UI"/>
        </w:rPr>
        <w:t>the determinant is a</w:t>
      </w:r>
      <w:r w:rsidR="00475357">
        <w:rPr>
          <w:rFonts w:ascii="Nirmala UI" w:hAnsi="Nirmala UI" w:cs="Nirmala UI"/>
          <w:vertAlign w:val="subscript"/>
        </w:rPr>
        <w:t>11</w:t>
      </w:r>
      <w:r w:rsidR="00475357">
        <w:rPr>
          <w:rFonts w:ascii="Nirmala UI" w:hAnsi="Nirmala UI" w:cs="Nirmala UI"/>
        </w:rPr>
        <w:t>×a</w:t>
      </w:r>
      <w:r w:rsidR="00475357">
        <w:rPr>
          <w:rFonts w:ascii="Nirmala UI" w:hAnsi="Nirmala UI" w:cs="Nirmala UI"/>
          <w:vertAlign w:val="subscript"/>
        </w:rPr>
        <w:t>22</w:t>
      </w:r>
      <w:r w:rsidR="00475357">
        <w:rPr>
          <w:rFonts w:ascii="Nirmala UI" w:hAnsi="Nirmala UI" w:cs="Nirmala UI"/>
        </w:rPr>
        <w:t xml:space="preserve"> </w:t>
      </w:r>
      <w:r w:rsidR="005B32F2">
        <w:rPr>
          <w:rFonts w:ascii="Nirmala UI" w:hAnsi="Nirmala UI" w:cs="Nirmala UI"/>
        </w:rPr>
        <w:t>–</w:t>
      </w:r>
      <w:r w:rsidR="00475357">
        <w:rPr>
          <w:rFonts w:ascii="Nirmala UI" w:hAnsi="Nirmala UI" w:cs="Nirmala UI"/>
        </w:rPr>
        <w:t xml:space="preserve"> </w:t>
      </w:r>
      <w:r w:rsidR="005B32F2">
        <w:rPr>
          <w:rFonts w:ascii="Nirmala UI" w:hAnsi="Nirmala UI" w:cs="Nirmala UI"/>
        </w:rPr>
        <w:t>a</w:t>
      </w:r>
      <w:r w:rsidR="005B32F2">
        <w:rPr>
          <w:rFonts w:ascii="Nirmala UI" w:hAnsi="Nirmala UI" w:cs="Nirmala UI"/>
          <w:vertAlign w:val="subscript"/>
        </w:rPr>
        <w:t>12</w:t>
      </w:r>
      <w:r w:rsidR="005B32F2">
        <w:rPr>
          <w:rFonts w:ascii="Nirmala UI" w:hAnsi="Nirmala UI" w:cs="Nirmala UI"/>
        </w:rPr>
        <w:t>×a</w:t>
      </w:r>
      <w:r w:rsidR="005B32F2">
        <w:rPr>
          <w:rFonts w:ascii="Nirmala UI" w:hAnsi="Nirmala UI" w:cs="Nirmala UI"/>
          <w:vertAlign w:val="subscript"/>
        </w:rPr>
        <w:t>21</w:t>
      </w:r>
      <w:r w:rsidR="005B32F2">
        <w:rPr>
          <w:rFonts w:ascii="Nirmala UI" w:hAnsi="Nirmala UI" w:cs="Nirmala UI"/>
        </w:rPr>
        <w:t>.</w:t>
      </w:r>
    </w:p>
    <w:p w:rsidR="005B32F2" w:rsidRDefault="005B32F2" w:rsidP="002B5DB5">
      <w:pPr>
        <w:spacing w:line="360" w:lineRule="auto"/>
        <w:rPr>
          <w:rFonts w:ascii="Nirmala UI" w:hAnsi="Nirmala UI" w:cs="Nirmala UI"/>
        </w:rPr>
      </w:pPr>
      <w:r>
        <w:rPr>
          <w:rFonts w:ascii="Nirmala UI" w:hAnsi="Nirmala UI" w:cs="Nirmala UI"/>
        </w:rPr>
        <w:t>Elements of a Matrix: The elements of a matrix are named on a coordinate system i.e. the element on the first row and first column would be a</w:t>
      </w:r>
      <w:r>
        <w:rPr>
          <w:rFonts w:ascii="Nirmala UI" w:hAnsi="Nirmala UI" w:cs="Nirmala UI"/>
          <w:vertAlign w:val="subscript"/>
        </w:rPr>
        <w:t>11</w:t>
      </w:r>
      <w:r>
        <w:rPr>
          <w:rFonts w:ascii="Nirmala UI" w:hAnsi="Nirmala UI" w:cs="Nirmala UI"/>
        </w:rPr>
        <w:t xml:space="preserve"> while the element on the first row and second column would be a</w:t>
      </w:r>
      <w:r>
        <w:rPr>
          <w:rFonts w:ascii="Nirmala UI" w:hAnsi="Nirmala UI" w:cs="Nirmala UI"/>
          <w:vertAlign w:val="subscript"/>
        </w:rPr>
        <w:t>12</w:t>
      </w:r>
      <w:r>
        <w:rPr>
          <w:rFonts w:ascii="Nirmala UI" w:hAnsi="Nirmala UI" w:cs="Nirmala UI"/>
        </w:rPr>
        <w:t>, and so on and so forth.</w:t>
      </w:r>
    </w:p>
    <w:p w:rsidR="005B32F2" w:rsidRDefault="00E862E6" w:rsidP="002B5DB5">
      <w:pPr>
        <w:spacing w:line="360" w:lineRule="auto"/>
        <w:rPr>
          <w:rFonts w:ascii="Nirmala UI" w:hAnsi="Nirmala UI" w:cs="Nirmala UI"/>
        </w:rPr>
      </w:pPr>
      <w:r>
        <w:rPr>
          <w:rFonts w:ascii="Nirmala UI" w:hAnsi="Nirmala UI" w:cs="Nirmala UI"/>
        </w:rPr>
        <w:lastRenderedPageBreak/>
        <w:t xml:space="preserve">Determinant of a 3×3 Matrix: </w:t>
      </w:r>
      <w:r w:rsidR="00713BD4">
        <w:rPr>
          <w:rFonts w:ascii="Nirmala UI" w:hAnsi="Nirmala UI" w:cs="Nirmala UI"/>
        </w:rPr>
        <w:t>See the image below…</w:t>
      </w:r>
    </w:p>
    <w:p w:rsidR="00713BD4" w:rsidRDefault="00713BD4" w:rsidP="002B5DB5">
      <w:pPr>
        <w:spacing w:line="360" w:lineRule="auto"/>
        <w:rPr>
          <w:rFonts w:ascii="Nirmala UI" w:hAnsi="Nirmala UI" w:cs="Nirmala UI"/>
        </w:rPr>
      </w:pPr>
      <w:r>
        <w:rPr>
          <w:rFonts w:ascii="Nirmala UI" w:hAnsi="Nirmala UI" w:cs="Nirmala UI"/>
          <w:noProof/>
        </w:rPr>
        <w:drawing>
          <wp:inline distT="0" distB="0" distL="0" distR="0">
            <wp:extent cx="6355080" cy="167238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 Matrix Determinant.png"/>
                    <pic:cNvPicPr/>
                  </pic:nvPicPr>
                  <pic:blipFill>
                    <a:blip r:embed="rId5">
                      <a:extLst>
                        <a:ext uri="{28A0092B-C50C-407E-A947-70E740481C1C}">
                          <a14:useLocalDpi xmlns:a14="http://schemas.microsoft.com/office/drawing/2010/main" val="0"/>
                        </a:ext>
                      </a:extLst>
                    </a:blip>
                    <a:stretch>
                      <a:fillRect/>
                    </a:stretch>
                  </pic:blipFill>
                  <pic:spPr>
                    <a:xfrm>
                      <a:off x="0" y="0"/>
                      <a:ext cx="6366893" cy="1675498"/>
                    </a:xfrm>
                    <a:prstGeom prst="rect">
                      <a:avLst/>
                    </a:prstGeom>
                  </pic:spPr>
                </pic:pic>
              </a:graphicData>
            </a:graphic>
          </wp:inline>
        </w:drawing>
      </w:r>
    </w:p>
    <w:p w:rsidR="000D2D88" w:rsidRDefault="009F78A8" w:rsidP="002B5DB5">
      <w:pPr>
        <w:spacing w:line="360" w:lineRule="auto"/>
        <w:rPr>
          <w:rFonts w:ascii="Nirmala UI" w:hAnsi="Nirmala UI" w:cs="Nirmala UI"/>
        </w:rPr>
      </w:pPr>
      <w:r>
        <w:rPr>
          <w:rFonts w:ascii="Nirmala UI" w:hAnsi="Nirmala UI" w:cs="Nirmala UI"/>
        </w:rPr>
        <w:t>Minor of a Matrix: The determinant of each smaller matrix is termed a minor represented by M</w:t>
      </w:r>
      <w:r>
        <w:rPr>
          <w:rFonts w:ascii="Nirmala UI" w:hAnsi="Nirmala UI" w:cs="Nirmala UI"/>
          <w:vertAlign w:val="subscript"/>
        </w:rPr>
        <w:t>ij</w:t>
      </w:r>
      <w:r>
        <w:rPr>
          <w:rFonts w:ascii="Nirmala UI" w:hAnsi="Nirmala UI" w:cs="Nirmala UI"/>
        </w:rPr>
        <w:t xml:space="preserve"> with i representing the eliminated row and j the eliminated column.</w:t>
      </w:r>
    </w:p>
    <w:p w:rsidR="000D2D88" w:rsidRDefault="000D2D88" w:rsidP="002B5DB5">
      <w:pPr>
        <w:spacing w:line="360" w:lineRule="auto"/>
        <w:rPr>
          <w:vertAlign w:val="subscript"/>
        </w:rPr>
      </w:pPr>
      <w:r>
        <w:rPr>
          <w:rFonts w:ascii="Nirmala UI" w:hAnsi="Nirmala UI" w:cs="Nirmala UI"/>
        </w:rPr>
        <w:t>Cofactor of an Element of a Matrix: The cofactor of A</w:t>
      </w:r>
      <w:r>
        <w:rPr>
          <w:rFonts w:ascii="Nirmala UI" w:hAnsi="Nirmala UI" w:cs="Nirmala UI"/>
          <w:vertAlign w:val="subscript"/>
        </w:rPr>
        <w:t xml:space="preserve">ij </w:t>
      </w:r>
      <w:r>
        <w:t>or the element A residing in row i and column j, is found by the equation A</w:t>
      </w:r>
      <w:r>
        <w:rPr>
          <w:vertAlign w:val="subscript"/>
        </w:rPr>
        <w:t>ij</w:t>
      </w:r>
      <w:r>
        <w:t xml:space="preserve"> = (-1)</w:t>
      </w:r>
      <w:r>
        <w:rPr>
          <w:vertAlign w:val="superscript"/>
        </w:rPr>
        <w:t>i+j</w:t>
      </w:r>
      <w:r>
        <w:rPr>
          <w:vertAlign w:val="subscript"/>
        </w:rPr>
        <w:t xml:space="preserve"> </w:t>
      </w:r>
      <w:r>
        <w:t>×</w:t>
      </w:r>
      <w:r>
        <w:t xml:space="preserve"> M</w:t>
      </w:r>
      <w:r>
        <w:rPr>
          <w:vertAlign w:val="subscript"/>
        </w:rPr>
        <w:t>ij.</w:t>
      </w:r>
    </w:p>
    <w:p w:rsidR="000D2D88" w:rsidRDefault="000D2D88" w:rsidP="002B5DB5">
      <w:pPr>
        <w:spacing w:line="360" w:lineRule="auto"/>
      </w:pPr>
      <w:r>
        <w:t>Finding the Determinant of Any n</w:t>
      </w:r>
      <w:r>
        <w:t>×</w:t>
      </w:r>
      <w:r>
        <w:t>n Matrix: To find the determinant of any n</w:t>
      </w:r>
      <w:r>
        <w:t>×</w:t>
      </w:r>
      <w:r>
        <w:t>n matrix chose a column or row and find the sum of each element multiplied by its cofactor.</w:t>
      </w:r>
    </w:p>
    <w:p w:rsidR="0072424A" w:rsidRDefault="0047565F" w:rsidP="002B5DB5">
      <w:pPr>
        <w:spacing w:line="360" w:lineRule="auto"/>
      </w:pPr>
      <w:r>
        <w:t>Cramer</w:t>
      </w:r>
      <w:r>
        <w:t>’</w:t>
      </w:r>
      <w:r>
        <w:t xml:space="preserve">s Rule for Two Equations in Two Variables: Given the system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47565F" w:rsidRDefault="007D1D7B" w:rsidP="002B5DB5">
      <w:pPr>
        <w:spacing w:line="360" w:lineRule="auto"/>
      </w:pPr>
      <w:r>
        <w:t xml:space="preserve">if its determinant D </w:t>
      </w:r>
      <w:r>
        <w:rPr>
          <w:rFonts w:ascii="Calibri" w:hAnsi="Calibri" w:cs="Calibri"/>
        </w:rPr>
        <w:t xml:space="preserve">≠ 0 then x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x</m:t>
                </m:r>
              </m:sub>
            </m:sSub>
          </m:num>
          <m:den>
            <m:r>
              <w:rPr>
                <w:rFonts w:ascii="Cambria Math" w:hAnsi="Cambria Math" w:cs="Calibri"/>
              </w:rPr>
              <m:t>D</m:t>
            </m:r>
          </m:den>
        </m:f>
      </m:oMath>
      <w:r>
        <w:rPr>
          <w:rFonts w:ascii="Calibri" w:hAnsi="Calibri" w:cs="Calibri"/>
        </w:rPr>
        <w:t xml:space="preserve"> and y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y</m:t>
                </m:r>
              </m:sub>
            </m:sSub>
          </m:num>
          <m:den>
            <m:r>
              <w:rPr>
                <w:rFonts w:ascii="Cambria Math" w:hAnsi="Cambria Math" w:cs="Calibri"/>
              </w:rPr>
              <m:t>D</m:t>
            </m:r>
          </m:den>
        </m:f>
      </m:oMath>
      <w:r>
        <w:rPr>
          <w:rFonts w:ascii="Calibri" w:hAnsi="Calibri" w:cs="Calibri"/>
        </w:rPr>
        <w:t xml:space="preserve"> where D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D</w:t>
      </w:r>
      <w:r>
        <w:rPr>
          <w:rFonts w:ascii="Calibri" w:hAnsi="Calibri" w:cs="Calibri"/>
          <w:vertAlign w:val="subscript"/>
        </w:rPr>
        <w:t>x</w:t>
      </w:r>
      <w:r>
        <w:rPr>
          <w:rFonts w:ascii="Calibri" w:hAnsi="Calibri" w:cs="Calibri"/>
        </w:rPr>
        <w:t xml:space="preserve"> =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and D</w:t>
      </w:r>
      <w:r>
        <w:rPr>
          <w:vertAlign w:val="subscript"/>
        </w:rPr>
        <w:t>y</w:t>
      </w:r>
      <w: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mr>
            </m:m>
          </m:e>
        </m:d>
      </m:oMath>
      <w:r>
        <w:t>.</w:t>
      </w:r>
    </w:p>
    <w:p w:rsidR="007D1D7B" w:rsidRPr="007D1D7B" w:rsidRDefault="007D1D7B" w:rsidP="002B5DB5">
      <w:pPr>
        <w:spacing w:line="360" w:lineRule="auto"/>
      </w:pPr>
      <w:bookmarkStart w:id="0" w:name="_GoBack"/>
      <w:bookmarkEnd w:id="0"/>
    </w:p>
    <w:p w:rsidR="0047565F" w:rsidRPr="0047565F" w:rsidRDefault="0047565F" w:rsidP="002B5DB5">
      <w:pPr>
        <w:spacing w:line="360" w:lineRule="auto"/>
      </w:pPr>
    </w:p>
    <w:p w:rsidR="000D2D88" w:rsidRPr="000D2D88" w:rsidRDefault="000D2D88" w:rsidP="002B5DB5">
      <w:pPr>
        <w:spacing w:line="360" w:lineRule="auto"/>
      </w:pPr>
    </w:p>
    <w:sectPr w:rsidR="000D2D88" w:rsidRPr="000D2D88"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EB2"/>
    <w:multiLevelType w:val="hybridMultilevel"/>
    <w:tmpl w:val="62967BEA"/>
    <w:lvl w:ilvl="0" w:tplc="747051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3B7D70"/>
    <w:multiLevelType w:val="hybridMultilevel"/>
    <w:tmpl w:val="E316877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20736"/>
    <w:multiLevelType w:val="hybridMultilevel"/>
    <w:tmpl w:val="3BD6F0AA"/>
    <w:lvl w:ilvl="0" w:tplc="EB9E9E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0D6F6B"/>
    <w:multiLevelType w:val="hybridMultilevel"/>
    <w:tmpl w:val="37C4DFB0"/>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9"/>
    <w:rsid w:val="00017F58"/>
    <w:rsid w:val="00030013"/>
    <w:rsid w:val="00054992"/>
    <w:rsid w:val="000C04EC"/>
    <w:rsid w:val="000D2D88"/>
    <w:rsid w:val="00133631"/>
    <w:rsid w:val="00137C12"/>
    <w:rsid w:val="001A2387"/>
    <w:rsid w:val="001C27FD"/>
    <w:rsid w:val="001D0D4A"/>
    <w:rsid w:val="001F53C8"/>
    <w:rsid w:val="001F7EA7"/>
    <w:rsid w:val="002263B4"/>
    <w:rsid w:val="0023620D"/>
    <w:rsid w:val="00262FA2"/>
    <w:rsid w:val="00270F72"/>
    <w:rsid w:val="002733B5"/>
    <w:rsid w:val="0027774E"/>
    <w:rsid w:val="0029124C"/>
    <w:rsid w:val="002B5DB5"/>
    <w:rsid w:val="002D13DE"/>
    <w:rsid w:val="003260AF"/>
    <w:rsid w:val="003B18FB"/>
    <w:rsid w:val="003B1AE5"/>
    <w:rsid w:val="003C51C9"/>
    <w:rsid w:val="003E757F"/>
    <w:rsid w:val="00421A23"/>
    <w:rsid w:val="00475357"/>
    <w:rsid w:val="0047565F"/>
    <w:rsid w:val="00496FC7"/>
    <w:rsid w:val="004A495D"/>
    <w:rsid w:val="00566B41"/>
    <w:rsid w:val="0057026E"/>
    <w:rsid w:val="005B32F2"/>
    <w:rsid w:val="005B3738"/>
    <w:rsid w:val="00600CC5"/>
    <w:rsid w:val="0060178F"/>
    <w:rsid w:val="00624860"/>
    <w:rsid w:val="0064550A"/>
    <w:rsid w:val="00676BD5"/>
    <w:rsid w:val="006937AA"/>
    <w:rsid w:val="006C14E4"/>
    <w:rsid w:val="00713BD4"/>
    <w:rsid w:val="0072424A"/>
    <w:rsid w:val="00746AAE"/>
    <w:rsid w:val="007D1D7B"/>
    <w:rsid w:val="007D3E45"/>
    <w:rsid w:val="007F628A"/>
    <w:rsid w:val="00824569"/>
    <w:rsid w:val="00836336"/>
    <w:rsid w:val="008477B8"/>
    <w:rsid w:val="008C2190"/>
    <w:rsid w:val="00901375"/>
    <w:rsid w:val="00910369"/>
    <w:rsid w:val="00965D05"/>
    <w:rsid w:val="0099755A"/>
    <w:rsid w:val="009F78A8"/>
    <w:rsid w:val="00A87690"/>
    <w:rsid w:val="00A92A66"/>
    <w:rsid w:val="00AA6AD1"/>
    <w:rsid w:val="00AD3472"/>
    <w:rsid w:val="00AF07EC"/>
    <w:rsid w:val="00B54DC6"/>
    <w:rsid w:val="00B62F57"/>
    <w:rsid w:val="00B80288"/>
    <w:rsid w:val="00B8776D"/>
    <w:rsid w:val="00BD1123"/>
    <w:rsid w:val="00C57198"/>
    <w:rsid w:val="00C94C07"/>
    <w:rsid w:val="00D66738"/>
    <w:rsid w:val="00D76087"/>
    <w:rsid w:val="00DD5FE5"/>
    <w:rsid w:val="00DF4C95"/>
    <w:rsid w:val="00E02997"/>
    <w:rsid w:val="00E04415"/>
    <w:rsid w:val="00E320C4"/>
    <w:rsid w:val="00E55457"/>
    <w:rsid w:val="00E64D80"/>
    <w:rsid w:val="00E72A06"/>
    <w:rsid w:val="00E77F9C"/>
    <w:rsid w:val="00E8179B"/>
    <w:rsid w:val="00E862E6"/>
    <w:rsid w:val="00EA1ECC"/>
    <w:rsid w:val="00ED6683"/>
    <w:rsid w:val="00F63AA4"/>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25A"/>
  <w15:chartTrackingRefBased/>
  <w15:docId w15:val="{374D00E4-B3BD-46ED-AB30-28C47BC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04EC"/>
    <w:rPr>
      <w:color w:val="808080"/>
    </w:rPr>
  </w:style>
  <w:style w:type="paragraph" w:styleId="ListParagraph">
    <w:name w:val="List Paragraph"/>
    <w:basedOn w:val="Normal"/>
    <w:uiPriority w:val="34"/>
    <w:qFormat/>
    <w:rsid w:val="003B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17</cp:revision>
  <dcterms:created xsi:type="dcterms:W3CDTF">2017-03-23T19:14:00Z</dcterms:created>
  <dcterms:modified xsi:type="dcterms:W3CDTF">2017-05-29T14:47:00Z</dcterms:modified>
</cp:coreProperties>
</file>