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 w:line="276" w:lineRule="auto"/>
      </w:pPr>
      <w:r>
        <w:rPr>
          <w:rFonts w:ascii="Open Sans" w:hAnsi="Open Sans" w:cs="Open Sans"/>
          <w:b/>
          <w:i w:val="0"/>
          <w:color w:val="FF0000"/>
          <w:sz w:val="36"/>
        </w:rPr>
        <w:t>ITR — DOCUMENTO DE MEJORAS · ACTUALIZACIÓN (JUNIO 2026)</w:t>
      </w:r>
    </w:p>
    <w:p>
      <w:pPr>
        <w:spacing w:after="160" w:before="0" w:line="276" w:lineRule="auto"/>
        <w:pBdr>
          <w:bottom w:val="single" w:sz="6" w:space="2" w:color="C8102E"/>
        </w:pBdr>
      </w:pPr>
      <w:r>
        <w:rPr>
          <w:rFonts w:ascii="Open Sans" w:hAnsi="Open Sans" w:cs="Open Sans"/>
          <w:b w:val="0"/>
          <w:i/>
          <w:color w:val="777777"/>
          <w:sz w:val="18"/>
        </w:rPr>
        <w:t>Departamento de Políticas Públicas — Fundación Libertad y Progreso · Junio 2026</w:t>
      </w:r>
    </w:p>
    <w:p>
      <w:pPr>
        <w:spacing w:after="200" w:before="0" w:line="276" w:lineRule="auto"/>
      </w:pPr>
      <w:r>
        <w:rPr>
          <w:rFonts w:ascii="Open Sans" w:hAnsi="Open Sans" w:cs="Open Sans"/>
          <w:b w:val="0"/>
          <w:i w:val="0"/>
          <w:color w:val="404040"/>
          <w:sz w:val="20"/>
        </w:rPr>
        <w:t>Addendum al «Documento de Mejoras Metodológicas y Hoja de Ruta». Refleja el estado real del proyecto a junio 2026 y reemplaza, donde corresponda, las propuestas previas de aquel documento.</w:t>
      </w:r>
    </w:p>
    <w:p>
      <w:pPr>
        <w:spacing w:after="120" w:before="240" w:line="276" w:lineRule="auto"/>
      </w:pPr>
      <w:r>
        <w:rPr>
          <w:rFonts w:ascii="Open Sans" w:hAnsi="Open Sans" w:cs="Open Sans"/>
          <w:b/>
          <w:i w:val="0"/>
          <w:color w:val="FF0000"/>
          <w:sz w:val="26"/>
        </w:rPr>
        <w:t>A. Implementado (desde la última versión)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Banco Central (eje completo). </w:t>
      </w:r>
      <w:r>
        <w:rPr>
          <w:rFonts w:ascii="Open Sans" w:hAnsi="Open Sans" w:cs="Open Sans"/>
          <w:b w:val="0"/>
          <w:i w:val="0"/>
          <w:color w:val="404040"/>
          <w:sz w:val="20"/>
        </w:rPr>
        <w:t>Financiamiento al Tesoro, Letras intransferibles, Designación del Presidente y Respeto de la Carta Orgánica (art. 20, Ley 24.144), con la recaudación tomada automáticamente de la API de Series de Tiempo.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Acceso de la prensa. </w:t>
      </w:r>
      <w:r>
        <w:rPr>
          <w:rFonts w:ascii="Open Sans" w:hAnsi="Open Sans" w:cs="Open Sans"/>
          <w:b w:val="0"/>
          <w:i w:val="0"/>
          <w:color w:val="404040"/>
          <w:sz w:val="20"/>
        </w:rPr>
        <w:t>Categoría oficial de FOPEA (restricciones de acceso a la información pública) + tabla mantenida de acreditaciones/sala de Casa Rosada. Incorpora ARRASTRE asimétrico (3 meses) para que los eventos puntuales no se evaporen al mes siguiente.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Otras variables. </w:t>
      </w:r>
      <w:r>
        <w:rPr>
          <w:rFonts w:ascii="Open Sans" w:hAnsi="Open Sans" w:cs="Open Sans"/>
          <w:b w:val="0"/>
          <w:i w:val="0"/>
          <w:color w:val="404040"/>
          <w:sz w:val="20"/>
        </w:rPr>
        <w:t>ATN (federalismo); Medios estatales; Cobertura judicial con titularidad/subrogancia; Corte con celeridad + competencia originaria + vacantes.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Núcleo histórico. </w:t>
      </w:r>
      <w:r>
        <w:rPr>
          <w:rFonts w:ascii="Open Sans" w:hAnsi="Open Sans" w:cs="Open Sans"/>
          <w:b w:val="0"/>
          <w:i w:val="0"/>
          <w:color w:val="404040"/>
          <w:sz w:val="20"/>
        </w:rPr>
        <w:t>Serie comparable de largo plazo, anual y MENSUAL (2020 → último mes), como serie de fondo del índice.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Reportes. </w:t>
      </w:r>
      <w:r>
        <w:rPr>
          <w:rFonts w:ascii="Open Sans" w:hAnsi="Open Sans" w:cs="Open Sans"/>
          <w:b w:val="0"/>
          <w:i w:val="0"/>
          <w:color w:val="404040"/>
          <w:sz w:val="20"/>
        </w:rPr>
        <w:t>Rehechos sobre el Modelo documento LyP (Open Sans, membrete): mensual (consolidado + 5 ejes + variación del mes) e histórico (núcleo mensual con fondo por gestión). Nota metodológica exhaustiva y LÉAME actualizado.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Preparación para el deploy. </w:t>
      </w:r>
      <w:r>
        <w:rPr>
          <w:rFonts w:ascii="Open Sans" w:hAnsi="Open Sans" w:cs="Open Sans"/>
          <w:b w:val="0"/>
          <w:i w:val="0"/>
          <w:color w:val="404040"/>
          <w:sz w:val="20"/>
        </w:rPr>
        <w:t>variables.yaml (FUENTE ÚNICA DE VERDAD) con el ensamblador refactorizado para leerlo (regresión verificada idéntica); contracts.yaml + validar.py (QA con frescura); AGENTS.md.</w:t>
      </w:r>
    </w:p>
    <w:p>
      <w:pPr>
        <w:spacing w:after="120" w:before="240" w:line="276" w:lineRule="auto"/>
      </w:pPr>
      <w:r>
        <w:rPr>
          <w:rFonts w:ascii="Open Sans" w:hAnsi="Open Sans" w:cs="Open Sans"/>
          <w:b/>
          <w:i w:val="0"/>
          <w:color w:val="FF0000"/>
          <w:sz w:val="26"/>
        </w:rPr>
        <w:t>B. Hoja de ruta — estado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Hecho: </w:t>
      </w:r>
      <w:r>
        <w:rPr>
          <w:rFonts w:ascii="Open Sans" w:hAnsi="Open Sans" w:cs="Open Sans"/>
          <w:b w:val="0"/>
          <w:i w:val="0"/>
          <w:color w:val="404040"/>
          <w:sz w:val="20"/>
        </w:rPr>
        <w:t>Transparencia v2, Causas FOPEA, Costo del Legislativo, Corte enriquecida, Calidad normativa, Banco Central, ATN, Medios estatales, Cobertura con subrogancia, gráfico 5 ejes estándar, núcleo histórico (anual y mensual), codebook, variables.yaml + contracts + AGENTS.md, gate de validación.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Pendiente: </w:t>
      </w:r>
      <w:r>
        <w:rPr>
          <w:rFonts w:ascii="Open Sans" w:hAnsi="Open Sans" w:cs="Open Sans"/>
          <w:b w:val="0"/>
          <w:i w:val="0"/>
          <w:color w:val="404040"/>
          <w:sz w:val="20"/>
        </w:rPr>
        <w:t>AGN — control externo (navegador headless); Consejo de la Magistratura en Cobertura; pilotos de redes sociales (responsividad) y OGP; fuentes de mayor cadencia; despliegue cloud (GitHub Actions + IP argentina); ATN histórico (dataset Transferencias a Provincias) y Judicial histórico (parqueados); Radar de eventos institucionales (documentado, pendiente el prototipo).</w:t>
      </w:r>
    </w:p>
    <w:p>
      <w:pPr>
        <w:spacing w:after="100" w:before="0" w:line="276" w:lineRule="auto"/>
      </w:pPr>
      <w:r>
        <w:rPr>
          <w:rFonts w:ascii="Open Sans" w:hAnsi="Open Sans" w:cs="Open Sans"/>
          <w:b/>
          <w:i w:val="0"/>
          <w:color w:val="404040"/>
          <w:sz w:val="20"/>
        </w:rPr>
        <w:t xml:space="preserve">Superado / descartado (no son pendientes): </w:t>
      </w:r>
      <w:r>
        <w:rPr>
          <w:rFonts w:ascii="Open Sans" w:hAnsi="Open Sans" w:cs="Open Sans"/>
          <w:b w:val="0"/>
          <w:i w:val="0"/>
          <w:color w:val="404040"/>
          <w:sz w:val="20"/>
        </w:rPr>
        <w:t>La tabla de pesos vieja (35/25/25/15 con AGN e Integridad) → reemplazada por 30/20/20/15/15 + Banco Central; Integridad pública descartada; AGN no incorporada. Pauta por concentración (HHI) descartada por ideológica. Normalización por percentiles reemplazada a propósito por el anclaje al ideal absoluto.</w:t>
      </w:r>
    </w:p>
    <w:p>
      <w:pPr>
        <w:spacing w:after="120" w:before="240" w:line="276" w:lineRule="auto"/>
      </w:pPr>
      <w:r>
        <w:rPr>
          <w:rFonts w:ascii="Open Sans" w:hAnsi="Open Sans" w:cs="Open Sans"/>
          <w:b/>
          <w:i w:val="0"/>
          <w:color w:val="FF0000"/>
          <w:sz w:val="26"/>
        </w:rPr>
        <w:t>C. Decisiones firmes (junio 2026)</w:t>
      </w:r>
    </w:p>
    <w:p>
      <w:pPr>
        <w:spacing w:after="120" w:before="0" w:line="276" w:lineRule="auto"/>
      </w:pPr>
      <w:r>
        <w:rPr>
          <w:rFonts w:ascii="Open Sans" w:hAnsi="Open Sans" w:cs="Open Sans"/>
          <w:b w:val="0"/>
          <w:i w:val="0"/>
          <w:color w:val="404040"/>
          <w:sz w:val="20"/>
        </w:rPr>
        <w:t>• Vigía y OpenArg NO se usan como fuente del valor publicado (no exponen API JSON anónima; verificado).</w:t>
      </w:r>
    </w:p>
    <w:p>
      <w:pPr>
        <w:spacing w:after="120" w:before="0" w:line="276" w:lineRule="auto"/>
      </w:pPr>
      <w:r>
        <w:rPr>
          <w:rFonts w:ascii="Open Sans" w:hAnsi="Open Sans" w:cs="Open Sans"/>
          <w:b w:val="0"/>
          <w:i w:val="0"/>
          <w:color w:val="404040"/>
          <w:sz w:val="20"/>
        </w:rPr>
        <w:t>• Sin self-host; todo debe ser cloud-activable. La incógnita abierta del deploy es el egress con IP argentina.</w:t>
      </w:r>
    </w:p>
    <w:p>
      <w:pPr>
        <w:spacing w:after="120" w:before="0" w:line="276" w:lineRule="auto"/>
      </w:pPr>
      <w:r>
        <w:rPr>
          <w:rFonts w:ascii="Open Sans" w:hAnsi="Open Sans" w:cs="Open Sans"/>
          <w:b w:val="0"/>
          <w:i w:val="0"/>
          <w:color w:val="404040"/>
          <w:sz w:val="20"/>
        </w:rPr>
        <w:t>• Validación = NOTIFICAR, no bloquear: validar.py avisa (exit 2 + reporte de alertas) pero la publicación no se frena; el equipo evalúa.</w:t>
      </w:r>
    </w:p>
    <w:p>
      <w:pPr>
        <w:spacing w:after="120" w:before="0" w:line="276" w:lineRule="auto"/>
      </w:pPr>
      <w:r>
        <w:rPr>
          <w:rFonts w:ascii="Open Sans" w:hAnsi="Open Sans" w:cs="Open Sans"/>
          <w:b w:val="0"/>
          <w:i w:val="0"/>
          <w:color w:val="404040"/>
          <w:sz w:val="20"/>
        </w:rPr>
        <w:t>• Arrastre asimétrico (3 meses) para eventos puntuales, solo en Prensa; el Ejecutivo nunca arrastra.</w:t>
      </w:r>
    </w:p>
    <w:p>
      <w:pPr>
        <w:spacing w:after="120" w:before="240" w:line="276" w:lineRule="auto"/>
      </w:pPr>
      <w:r>
        <w:rPr>
          <w:rFonts w:ascii="Open Sans" w:hAnsi="Open Sans" w:cs="Open Sans"/>
          <w:b/>
          <w:i w:val="0"/>
          <w:color w:val="FF0000"/>
          <w:sz w:val="26"/>
        </w:rPr>
        <w:t>D. Próximos pendientes priorizados</w:t>
      </w:r>
    </w:p>
    <w:p>
      <w:pPr>
        <w:spacing w:after="120" w:before="0" w:line="276" w:lineRule="auto"/>
      </w:pPr>
      <w:r>
        <w:rPr>
          <w:rFonts w:ascii="Open Sans" w:hAnsi="Open Sans" w:cs="Open Sans"/>
          <w:b w:val="0"/>
          <w:i w:val="0"/>
          <w:color w:val="404040"/>
          <w:sz w:val="20"/>
        </w:rPr>
        <w:t>1) Despliegue cloud + solución de IP argentina. 2) AGN (control externo). 3) Fuentes de mayor cadencia + indicador de frescura publicado. 4) Pilotos (redes / OGP). 5) Prototipo del Radar de eventos. 6) Histórico hacia Macri (requiere ATN y Judicial históricos; parqueado).</w:t>
      </w:r>
    </w:p>
    <w:p>
      <w:pPr>
        <w:spacing w:after="120" w:before="160" w:line="276" w:lineRule="auto"/>
      </w:pPr>
      <w:r>
        <w:rPr>
          <w:rFonts w:ascii="Open Sans" w:hAnsi="Open Sans" w:cs="Open Sans"/>
          <w:b w:val="0"/>
          <w:i w:val="0"/>
          <w:color w:val="777777"/>
          <w:sz w:val="16"/>
        </w:rPr>
        <w:t>Nota: este addendum se generó por separado porque el archivo original quedó como cloud-only en la sesión y no pudo editarse en el lugar. Se puede pegar dentro del documento de mejoras o conservar como anexo.</w:t>
      </w:r>
    </w:p>
    <w:sectPr w:rsidR="00A53109">
      <w:headerReference w:type="default" r:id="rId8"/>
      <w:footerReference w:type="default" r:id="rId9"/>
      <w:pgSz w:w="12240" w:h="15840"/>
      <w:pgMar w:top="1440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E54C" w14:textId="77777777" w:rsidR="00F77CBB" w:rsidRDefault="00F77CBB">
      <w:pPr>
        <w:spacing w:after="0" w:line="240" w:lineRule="auto"/>
      </w:pPr>
      <w:r>
        <w:separator/>
      </w:r>
    </w:p>
  </w:endnote>
  <w:endnote w:type="continuationSeparator" w:id="0">
    <w:p w14:paraId="67B6C11F" w14:textId="77777777" w:rsidR="00F77CBB" w:rsidRDefault="00F77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9CB4" w14:textId="733605CD" w:rsidR="00EB67EE" w:rsidRPr="00FF3475" w:rsidRDefault="009D36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Open Sans" w:hAnsi="Open Sans" w:cs="Open Sans"/>
        <w:b/>
        <w:color w:val="C00000"/>
      </w:rPr>
    </w:pPr>
    <w:r>
      <w:rPr>
        <w:color w:val="000000"/>
      </w:rPr>
      <w:t xml:space="preserve"> </w:t>
    </w:r>
    <w:r>
      <w:rPr>
        <w:b/>
        <w:color w:val="C00000"/>
      </w:rPr>
      <w:tab/>
    </w:r>
    <w:r>
      <w:rPr>
        <w:b/>
        <w:color w:val="C00000"/>
      </w:rPr>
      <w:tab/>
    </w:r>
    <w:r>
      <w:rPr>
        <w:b/>
        <w:color w:val="C00000"/>
      </w:rPr>
      <w:tab/>
    </w:r>
    <w:r w:rsidRPr="00FF3475">
      <w:rPr>
        <w:rFonts w:ascii="Open Sans" w:eastAsia="Montserrat" w:hAnsi="Open Sans" w:cs="Open Sans"/>
        <w:b/>
        <w:color w:val="C00000"/>
      </w:rPr>
      <w:fldChar w:fldCharType="begin"/>
    </w:r>
    <w:r w:rsidRPr="00FF3475">
      <w:rPr>
        <w:rFonts w:ascii="Open Sans" w:eastAsia="Montserrat" w:hAnsi="Open Sans" w:cs="Open Sans"/>
        <w:b/>
        <w:color w:val="C00000"/>
      </w:rPr>
      <w:instrText>PAGE</w:instrText>
    </w:r>
    <w:r w:rsidRPr="00FF3475">
      <w:rPr>
        <w:rFonts w:ascii="Open Sans" w:eastAsia="Montserrat" w:hAnsi="Open Sans" w:cs="Open Sans"/>
        <w:b/>
        <w:color w:val="C00000"/>
      </w:rPr>
      <w:fldChar w:fldCharType="separate"/>
    </w:r>
    <w:r w:rsidR="00396BD4">
      <w:rPr>
        <w:rFonts w:ascii="Open Sans" w:eastAsia="Montserrat" w:hAnsi="Open Sans" w:cs="Open Sans"/>
        <w:b/>
        <w:noProof/>
        <w:color w:val="C00000"/>
      </w:rPr>
      <w:t>7</w:t>
    </w:r>
    <w:r w:rsidRPr="00FF3475">
      <w:rPr>
        <w:rFonts w:ascii="Open Sans" w:eastAsia="Montserrat" w:hAnsi="Open Sans" w:cs="Open Sans"/>
        <w:b/>
        <w:color w:val="C00000"/>
      </w:rPr>
      <w:fldChar w:fldCharType="end"/>
    </w:r>
    <w:r w:rsidRPr="00FF3475">
      <w:rPr>
        <w:rFonts w:ascii="Open Sans" w:hAnsi="Open Sans" w:cs="Open Sans"/>
        <w:noProof/>
        <w:lang w:val="es-419" w:eastAsia="es-419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B5FBC9" wp14:editId="5F88F8F4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00825" cy="704850"/>
              <wp:effectExtent l="0" t="0" r="952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0825" cy="704850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10350" cy="7048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2336" behindDoc="1" locked="0" layoutInCell="1" hidden="0" allowOverlap="1" wp14:anchorId="24C3858E" wp14:editId="7BE7550D">
          <wp:simplePos x="0" y="0"/>
          <wp:positionH relativeFrom="column">
            <wp:posOffset>57150</wp:posOffset>
          </wp:positionH>
          <wp:positionV relativeFrom="paragraph">
            <wp:posOffset>360045</wp:posOffset>
          </wp:positionV>
          <wp:extent cx="4381500" cy="259644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0" cy="259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3360" behindDoc="1" locked="0" layoutInCell="1" hidden="0" allowOverlap="1" wp14:anchorId="74B6C3F6" wp14:editId="2288B878">
          <wp:simplePos x="0" y="0"/>
          <wp:positionH relativeFrom="column">
            <wp:posOffset>-3009899</wp:posOffset>
          </wp:positionH>
          <wp:positionV relativeFrom="paragraph">
            <wp:posOffset>-953769</wp:posOffset>
          </wp:positionV>
          <wp:extent cx="3238500" cy="285707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0" cy="2857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0E22" w14:textId="77777777" w:rsidR="00F77CBB" w:rsidRDefault="00F77CBB">
      <w:pPr>
        <w:spacing w:after="0" w:line="240" w:lineRule="auto"/>
      </w:pPr>
      <w:r>
        <w:separator/>
      </w:r>
    </w:p>
  </w:footnote>
  <w:footnote w:type="continuationSeparator" w:id="0">
    <w:p w14:paraId="0275C1B3" w14:textId="77777777" w:rsidR="00F77CBB" w:rsidRDefault="00F77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80E3" w14:textId="0C90D586" w:rsidR="00EB67EE" w:rsidRPr="00203170" w:rsidRDefault="00203170" w:rsidP="00203170">
    <w:pPr>
      <w:pBdr>
        <w:bottom w:val="single" w:sz="8" w:space="1" w:color="7F7F7F" w:themeColor="text1" w:themeTint="80"/>
      </w:pBdr>
      <w:jc w:val="both"/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pP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INFORME DE POLÍTICAS PÚBLICAS</w:t>
    </w:r>
    <w:r w:rsidRPr="001F08F5">
      <w:rPr>
        <w:noProof/>
        <w:sz w:val="20"/>
        <w:szCs w:val="20"/>
        <w:lang w:val="es-419" w:eastAsia="es-419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74EEB37" wp14:editId="19A256E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B9CC4" id="Rectángulo 13" o:spid="_x0000_s1026" style="position:absolute;margin-left:-109.5pt;margin-top:-36pt;width:65.05pt;height:7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" fillcolor="#db0032" stroked="f" strokeweight="2pt"/>
          </w:pict>
        </mc:Fallback>
      </mc:AlternateContent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6432" behindDoc="0" locked="0" layoutInCell="1" hidden="0" allowOverlap="1" wp14:anchorId="03EC9F0F" wp14:editId="279EAC56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7456" behindDoc="0" locked="0" layoutInCell="1" hidden="0" allowOverlap="1" wp14:anchorId="0D462754" wp14:editId="575F6AF3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15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  <w:t xml:space="preserve">         </w:t>
    </w:r>
    <w:r w:rsidR="0035502A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Junio</w:t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 xml:space="preserve"> 202</w:t>
    </w:r>
    <w:r w:rsidR="009D36B3"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FFD0720" wp14:editId="0907423A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6135" cy="915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9D36B3">
      <w:rPr>
        <w:noProof/>
        <w:lang w:val="es-419" w:eastAsia="es-419"/>
      </w:rPr>
      <w:drawing>
        <wp:anchor distT="0" distB="0" distL="114300" distR="114300" simplePos="0" relativeHeight="251659264" behindDoc="0" locked="0" layoutInCell="1" hidden="0" allowOverlap="1" wp14:anchorId="76845840" wp14:editId="4E3A7D65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D36B3">
      <w:rPr>
        <w:noProof/>
        <w:lang w:val="es-419" w:eastAsia="es-419"/>
      </w:rPr>
      <w:drawing>
        <wp:anchor distT="0" distB="0" distL="114300" distR="114300" simplePos="0" relativeHeight="251660288" behindDoc="0" locked="0" layoutInCell="1" hidden="0" allowOverlap="1" wp14:anchorId="34E96621" wp14:editId="78FFE30A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6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10E02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EA"/>
    <w:multiLevelType w:val="hybridMultilevel"/>
    <w:tmpl w:val="8A1848D6"/>
    <w:lvl w:ilvl="0" w:tplc="58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4484313"/>
    <w:multiLevelType w:val="hybridMultilevel"/>
    <w:tmpl w:val="052E17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15621">
    <w:abstractNumId w:val="0"/>
  </w:num>
  <w:num w:numId="2" w16cid:durableId="3520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EE"/>
    <w:rsid w:val="0000752D"/>
    <w:rsid w:val="0004018B"/>
    <w:rsid w:val="00055F43"/>
    <w:rsid w:val="000A20E3"/>
    <w:rsid w:val="000B7F2B"/>
    <w:rsid w:val="000C1ED9"/>
    <w:rsid w:val="000D51FA"/>
    <w:rsid w:val="000E12DE"/>
    <w:rsid w:val="000E627A"/>
    <w:rsid w:val="000F2E96"/>
    <w:rsid w:val="001037BA"/>
    <w:rsid w:val="00103C02"/>
    <w:rsid w:val="00135212"/>
    <w:rsid w:val="001472AF"/>
    <w:rsid w:val="00163E83"/>
    <w:rsid w:val="00187188"/>
    <w:rsid w:val="00191068"/>
    <w:rsid w:val="001B1201"/>
    <w:rsid w:val="001B5BBD"/>
    <w:rsid w:val="001B7C74"/>
    <w:rsid w:val="001D5AE1"/>
    <w:rsid w:val="001F510D"/>
    <w:rsid w:val="001F55AF"/>
    <w:rsid w:val="001F60CF"/>
    <w:rsid w:val="001F6740"/>
    <w:rsid w:val="00203170"/>
    <w:rsid w:val="00203E17"/>
    <w:rsid w:val="00210474"/>
    <w:rsid w:val="00226B46"/>
    <w:rsid w:val="00227578"/>
    <w:rsid w:val="00234E37"/>
    <w:rsid w:val="002378BC"/>
    <w:rsid w:val="00244C6B"/>
    <w:rsid w:val="002502A3"/>
    <w:rsid w:val="00254EE9"/>
    <w:rsid w:val="002643B5"/>
    <w:rsid w:val="00287C91"/>
    <w:rsid w:val="00297862"/>
    <w:rsid w:val="002A69D7"/>
    <w:rsid w:val="002A7DE5"/>
    <w:rsid w:val="002B5899"/>
    <w:rsid w:val="002C38B0"/>
    <w:rsid w:val="00301B78"/>
    <w:rsid w:val="00301F5B"/>
    <w:rsid w:val="0030498B"/>
    <w:rsid w:val="00310654"/>
    <w:rsid w:val="0031336F"/>
    <w:rsid w:val="00313C81"/>
    <w:rsid w:val="00316C68"/>
    <w:rsid w:val="00342D98"/>
    <w:rsid w:val="00347338"/>
    <w:rsid w:val="0035502A"/>
    <w:rsid w:val="00355147"/>
    <w:rsid w:val="00360C33"/>
    <w:rsid w:val="00377F02"/>
    <w:rsid w:val="00387088"/>
    <w:rsid w:val="00394D56"/>
    <w:rsid w:val="00396BD4"/>
    <w:rsid w:val="003A09DC"/>
    <w:rsid w:val="003A3D4B"/>
    <w:rsid w:val="003B13D1"/>
    <w:rsid w:val="003E5A50"/>
    <w:rsid w:val="003F0501"/>
    <w:rsid w:val="004058FE"/>
    <w:rsid w:val="004262D8"/>
    <w:rsid w:val="0042750F"/>
    <w:rsid w:val="00447B8B"/>
    <w:rsid w:val="00451CBE"/>
    <w:rsid w:val="0046174B"/>
    <w:rsid w:val="00463066"/>
    <w:rsid w:val="0046622E"/>
    <w:rsid w:val="00487304"/>
    <w:rsid w:val="004B753A"/>
    <w:rsid w:val="004C139B"/>
    <w:rsid w:val="004C74B5"/>
    <w:rsid w:val="004D190E"/>
    <w:rsid w:val="004D6B65"/>
    <w:rsid w:val="004D7806"/>
    <w:rsid w:val="00542027"/>
    <w:rsid w:val="005565BE"/>
    <w:rsid w:val="00560604"/>
    <w:rsid w:val="00565DFF"/>
    <w:rsid w:val="005705EB"/>
    <w:rsid w:val="0058153D"/>
    <w:rsid w:val="00581E79"/>
    <w:rsid w:val="0058325B"/>
    <w:rsid w:val="005B59F3"/>
    <w:rsid w:val="005F02A6"/>
    <w:rsid w:val="005F39F2"/>
    <w:rsid w:val="00614375"/>
    <w:rsid w:val="0065066B"/>
    <w:rsid w:val="00653E60"/>
    <w:rsid w:val="0066060A"/>
    <w:rsid w:val="006A7DBD"/>
    <w:rsid w:val="006B2BA8"/>
    <w:rsid w:val="006B6313"/>
    <w:rsid w:val="006B6F30"/>
    <w:rsid w:val="006C0527"/>
    <w:rsid w:val="006D67CE"/>
    <w:rsid w:val="00712256"/>
    <w:rsid w:val="007200EB"/>
    <w:rsid w:val="00781588"/>
    <w:rsid w:val="00784400"/>
    <w:rsid w:val="0079022C"/>
    <w:rsid w:val="00790A7E"/>
    <w:rsid w:val="007974F0"/>
    <w:rsid w:val="007B1D59"/>
    <w:rsid w:val="007E720C"/>
    <w:rsid w:val="007F0FF9"/>
    <w:rsid w:val="00807A60"/>
    <w:rsid w:val="00810E02"/>
    <w:rsid w:val="00826252"/>
    <w:rsid w:val="008351B2"/>
    <w:rsid w:val="008421F1"/>
    <w:rsid w:val="00842C6C"/>
    <w:rsid w:val="0085000F"/>
    <w:rsid w:val="00851002"/>
    <w:rsid w:val="00866B2B"/>
    <w:rsid w:val="00873D76"/>
    <w:rsid w:val="00885224"/>
    <w:rsid w:val="008908CA"/>
    <w:rsid w:val="00891D64"/>
    <w:rsid w:val="008A3E6D"/>
    <w:rsid w:val="008B3574"/>
    <w:rsid w:val="008B5D75"/>
    <w:rsid w:val="008B763B"/>
    <w:rsid w:val="008F36C3"/>
    <w:rsid w:val="009043D6"/>
    <w:rsid w:val="009078BD"/>
    <w:rsid w:val="0092318B"/>
    <w:rsid w:val="00930944"/>
    <w:rsid w:val="0095138C"/>
    <w:rsid w:val="00962CF7"/>
    <w:rsid w:val="009658BB"/>
    <w:rsid w:val="00971E54"/>
    <w:rsid w:val="009B3EA8"/>
    <w:rsid w:val="009B51E2"/>
    <w:rsid w:val="009C432F"/>
    <w:rsid w:val="009D36B3"/>
    <w:rsid w:val="00A05D49"/>
    <w:rsid w:val="00A53109"/>
    <w:rsid w:val="00A57867"/>
    <w:rsid w:val="00AC6393"/>
    <w:rsid w:val="00AD0207"/>
    <w:rsid w:val="00AD1554"/>
    <w:rsid w:val="00AE5070"/>
    <w:rsid w:val="00AE5CEE"/>
    <w:rsid w:val="00B117F0"/>
    <w:rsid w:val="00B16FC3"/>
    <w:rsid w:val="00B37EA2"/>
    <w:rsid w:val="00B63C10"/>
    <w:rsid w:val="00B66016"/>
    <w:rsid w:val="00B81215"/>
    <w:rsid w:val="00BA462B"/>
    <w:rsid w:val="00BA57FA"/>
    <w:rsid w:val="00BC36C7"/>
    <w:rsid w:val="00BD1CAE"/>
    <w:rsid w:val="00BD1DB3"/>
    <w:rsid w:val="00BE242E"/>
    <w:rsid w:val="00C17C59"/>
    <w:rsid w:val="00C208BB"/>
    <w:rsid w:val="00C460E7"/>
    <w:rsid w:val="00C50EE6"/>
    <w:rsid w:val="00C6032B"/>
    <w:rsid w:val="00C60FED"/>
    <w:rsid w:val="00C6380B"/>
    <w:rsid w:val="00C8070D"/>
    <w:rsid w:val="00CA48FD"/>
    <w:rsid w:val="00CA720F"/>
    <w:rsid w:val="00CB3634"/>
    <w:rsid w:val="00CD496B"/>
    <w:rsid w:val="00CD6E0F"/>
    <w:rsid w:val="00CE0881"/>
    <w:rsid w:val="00CE0EFF"/>
    <w:rsid w:val="00CE145E"/>
    <w:rsid w:val="00D238F6"/>
    <w:rsid w:val="00D24284"/>
    <w:rsid w:val="00D57E00"/>
    <w:rsid w:val="00D71056"/>
    <w:rsid w:val="00D76C53"/>
    <w:rsid w:val="00D806F2"/>
    <w:rsid w:val="00DC1563"/>
    <w:rsid w:val="00DE312D"/>
    <w:rsid w:val="00DF7D0B"/>
    <w:rsid w:val="00E064BC"/>
    <w:rsid w:val="00E07379"/>
    <w:rsid w:val="00E40092"/>
    <w:rsid w:val="00E41014"/>
    <w:rsid w:val="00E42106"/>
    <w:rsid w:val="00E53818"/>
    <w:rsid w:val="00E57957"/>
    <w:rsid w:val="00E92EDB"/>
    <w:rsid w:val="00EA029D"/>
    <w:rsid w:val="00EB67EE"/>
    <w:rsid w:val="00EC7D20"/>
    <w:rsid w:val="00EF1FEC"/>
    <w:rsid w:val="00F008B8"/>
    <w:rsid w:val="00F043EA"/>
    <w:rsid w:val="00F337FC"/>
    <w:rsid w:val="00F73F9F"/>
    <w:rsid w:val="00F77CBB"/>
    <w:rsid w:val="00F85134"/>
    <w:rsid w:val="00F91BB3"/>
    <w:rsid w:val="00FA3EC0"/>
    <w:rsid w:val="00FA3F93"/>
    <w:rsid w:val="00FA5AD4"/>
    <w:rsid w:val="00FB44D1"/>
    <w:rsid w:val="00FD319E"/>
    <w:rsid w:val="00FD39DB"/>
    <w:rsid w:val="00FE154F"/>
    <w:rsid w:val="00FE2A00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659A47"/>
  <w15:docId w15:val="{0593A561-8F4C-4F94-9096-DF66898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75"/>
  </w:style>
  <w:style w:type="paragraph" w:styleId="Piedepgina">
    <w:name w:val="footer"/>
    <w:basedOn w:val="Normal"/>
    <w:link w:val="Piedepgina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75"/>
  </w:style>
  <w:style w:type="paragraph" w:styleId="Prrafodelista">
    <w:name w:val="List Paragraph"/>
    <w:basedOn w:val="Normal"/>
    <w:uiPriority w:val="34"/>
    <w:qFormat/>
    <w:rsid w:val="002A69D7"/>
    <w:pPr>
      <w:ind w:left="720"/>
      <w:contextualSpacing/>
    </w:pPr>
    <w:rPr>
      <w:rFonts w:asciiTheme="minorHAnsi" w:eastAsiaTheme="minorHAnsi" w:hAnsiTheme="minorHAnsi" w:cstheme="minorBidi"/>
      <w:lang w:val="es-ES"/>
    </w:rPr>
  </w:style>
  <w:style w:type="paragraph" w:styleId="NormalWeb">
    <w:name w:val="Normal (Web)"/>
    <w:basedOn w:val="Normal"/>
    <w:uiPriority w:val="99"/>
    <w:unhideWhenUsed/>
    <w:rsid w:val="0036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CE14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14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14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14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145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C139B"/>
    <w:pPr>
      <w:spacing w:after="0" w:line="240" w:lineRule="auto"/>
    </w:pPr>
  </w:style>
  <w:style w:type="paragraph" w:customStyle="1" w:styleId="Textonotapie1">
    <w:name w:val="Texto nota pie1"/>
    <w:basedOn w:val="Normal"/>
    <w:next w:val="Textonotapie"/>
    <w:link w:val="TextonotapieCar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semiHidden/>
    <w:rsid w:val="00A531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3109"/>
    <w:rPr>
      <w:vertAlign w:val="superscript"/>
    </w:rPr>
  </w:style>
  <w:style w:type="character" w:customStyle="1" w:styleId="Hipervnculo1">
    <w:name w:val="Hipervínculo1"/>
    <w:basedOn w:val="Fuentedeprrafopredeter"/>
    <w:uiPriority w:val="99"/>
    <w:unhideWhenUsed/>
    <w:rsid w:val="00A53109"/>
    <w:rPr>
      <w:color w:val="0563C1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53109"/>
    <w:pPr>
      <w:spacing w:after="0" w:line="240" w:lineRule="auto"/>
    </w:pPr>
    <w:rPr>
      <w:rFonts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1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A53109"/>
    <w:rPr>
      <w:sz w:val="20"/>
      <w:szCs w:val="20"/>
    </w:rPr>
  </w:style>
  <w:style w:type="table" w:styleId="Tablaconcuadrcula">
    <w:name w:val="Table Grid"/>
    <w:basedOn w:val="Tablanormal"/>
    <w:uiPriority w:val="39"/>
    <w:rsid w:val="00A5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94D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D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05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F3D50-7D1A-4865-BFE5-2AE2530F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franco1 marconi</cp:lastModifiedBy>
  <cp:revision>12</cp:revision>
  <cp:lastPrinted>2024-09-12T19:30:00Z</cp:lastPrinted>
  <dcterms:created xsi:type="dcterms:W3CDTF">2024-09-17T17:58:00Z</dcterms:created>
  <dcterms:modified xsi:type="dcterms:W3CDTF">2026-01-27T13:39:00Z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ffc068bd2e02df4eeb8795c9e65fe78f41b55f45276d1d0e36ffc4546ebb0bd9</vt:lpwstr>
  </property>
</Properties>
</file>