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line="276" w:lineRule="auto"/>
      </w:pPr>
      <w:r>
        <w:rPr>
          <w:rFonts w:ascii="Open Sans" w:hAnsi="Open Sans" w:cs="Open Sans"/>
          <w:b/>
          <w:i w:val="0"/>
          <w:color w:val="FF0000"/>
          <w:sz w:val="40"/>
        </w:rPr>
        <w:t>ITR — REPORTE MENSUAL · GESTIÓN MILEI (ENERO 2024 – MAYO 2026)</w:t>
      </w:r>
    </w:p>
    <w:p>
      <w:pPr>
        <w:spacing w:after="160" w:before="0" w:line="276" w:lineRule="auto"/>
        <w:pBdr>
          <w:bottom w:val="single" w:sz="6" w:space="2" w:color="C8102E"/>
        </w:pBdr>
      </w:pPr>
      <w:r>
        <w:rPr>
          <w:rFonts w:ascii="Open Sans" w:hAnsi="Open Sans" w:cs="Open Sans"/>
          <w:b w:val="0"/>
          <w:i/>
          <w:color w:val="777777"/>
          <w:sz w:val="18"/>
        </w:rPr>
        <w:t>Departamento de Políticas Públicas — Fundación Libertad y Progreso · Junio 2026</w:t>
      </w:r>
    </w:p>
    <w:p>
      <w:pPr>
        <w:spacing w:after="200" w:before="0" w:line="276" w:lineRule="auto"/>
      </w:pPr>
      <w:r>
        <w:rPr>
          <w:rFonts w:ascii="Open Sans" w:hAnsi="Open Sans" w:cs="Open Sans"/>
          <w:b w:val="0"/>
          <w:i w:val="0"/>
          <w:color w:val="404040"/>
          <w:sz w:val="20"/>
        </w:rPr>
        <w:t>El Índice de Transparencia Republicana (ITR) mide, con datos administrativos duros y reproducibles —sin encuestas ni juicios de opinión—, cuán transparente, limitado y sujeto a controles está el poder en la Argentina. Cada variable se ancla a un ideal absoluto de república liberal (frenos y contrapesos) en una escala de 0 a 100, donde 100 es el óptimo institucional alcanzable, no el mejor registro histórico.</w:t>
      </w:r>
    </w:p>
    <w:p>
      <w:pPr>
        <w:spacing w:after="120" w:before="240" w:line="276" w:lineRule="auto"/>
      </w:pPr>
      <w:r>
        <w:rPr>
          <w:rFonts w:ascii="Open Sans" w:hAnsi="Open Sans" w:cs="Open Sans"/>
          <w:b/>
          <w:i w:val="0"/>
          <w:color w:val="FF0000"/>
          <w:sz w:val="26"/>
        </w:rPr>
        <w:t>1. Índice consolidado</w:t>
      </w:r>
    </w:p>
    <w:p>
      <w:pPr>
        <w:spacing w:after="1600" w:before="0" w:line="276" w:lineRule="auto"/>
      </w:pPr>
      <w:r>
        <w:rPr>
          <w:rFonts w:ascii="Open Sans" w:hAnsi="Open Sans" w:cs="Open Sans"/>
          <w:b w:val="0"/>
          <w:i w:val="0"/>
          <w:color w:val="404040"/>
          <w:sz w:val="20"/>
        </w:rPr>
        <w:t>El ITR consolida las 18 variables en un solo número. Durante la gestión (ene-2024 a may-2026) promedió 50,3 y pasó de 47,6 a 53,0 (+5,4 puntos). La trayectoria tiene tres marcas claras: una caída inicial por gobernar con el Presupuesto prorrogado, una mejora sostenida de la mano de la disciplina monetaria y un salto en enero de 2026 con la aprobación del Presupuesto. El retroceso de abril de 2026 corresponde al cierre de la sala de prensa de Casa Rosada, cuyo efecto se arrastra los meses siguientes (recuperación gradual, no instantánea).</w:t>
      </w:r>
    </w:p>
    <w:p>
      <w:pPr>
        <w:spacing w:before="120" w:after="120"/>
        <w:jc w:val="center"/>
      </w:pPr>
      <w:r>
        <w:drawing>
          <wp:inline xmlns:a="http://schemas.openxmlformats.org/drawingml/2006/main" xmlns:pic="http://schemas.openxmlformats.org/drawingml/2006/picture">
            <wp:extent cx="5760720" cy="2765146"/>
            <wp:docPr id="1" name="Picture 1"/>
            <wp:cNvGraphicFramePr>
              <a:graphicFrameLocks noChangeAspect="1"/>
            </wp:cNvGraphicFramePr>
            <a:graphic>
              <a:graphicData uri="http://schemas.openxmlformats.org/drawingml/2006/picture">
                <pic:pic>
                  <pic:nvPicPr>
                    <pic:cNvPr id="0" name="ITR_consolidado_mensual_Milei.png"/>
                    <pic:cNvPicPr/>
                  </pic:nvPicPr>
                  <pic:blipFill>
                    <a:blip r:embed="rId12"/>
                    <a:stretch>
                      <a:fillRect/>
                    </a:stretch>
                  </pic:blipFill>
                  <pic:spPr>
                    <a:xfrm>
                      <a:off x="0" y="0"/>
                      <a:ext cx="5760720" cy="2765146"/>
                    </a:xfrm>
                    <a:prstGeom prst="rect"/>
                  </pic:spPr>
                </pic:pic>
              </a:graphicData>
            </a:graphic>
          </wp:inline>
        </w:drawing>
      </w:r>
    </w:p>
    <w:p>
      <w:pPr>
        <w:spacing w:after="120" w:before="240" w:line="276" w:lineRule="auto"/>
      </w:pPr>
      <w:r>
        <w:rPr>
          <w:rFonts w:ascii="Open Sans" w:hAnsi="Open Sans" w:cs="Open Sans"/>
          <w:b/>
          <w:i w:val="0"/>
          <w:color w:val="FF0000"/>
          <w:sz w:val="26"/>
        </w:rPr>
        <w:t>2. Desagregado por macrocategoría</w:t>
      </w:r>
    </w:p>
    <w:p>
      <w:pPr>
        <w:spacing w:after="1600" w:before="0" w:line="276" w:lineRule="auto"/>
      </w:pPr>
      <w:r>
        <w:rPr>
          <w:rFonts w:ascii="Open Sans" w:hAnsi="Open Sans" w:cs="Open Sans"/>
          <w:b w:val="0"/>
          <w:i w:val="0"/>
          <w:color w:val="404040"/>
          <w:sz w:val="20"/>
        </w:rPr>
        <w:t>Abierto en los cinco ejes, el período muestra dos motores y tres anclas. Suben con fuerza el Banco Central (de 23 a 67, por el fin del financiamiento monetario al Tesoro) y se sostiene alta la Prensa (en torno a 75-82). En cambio, el Ejecutivo se mantiene bajo por el gobierno por DNU —salvo el salto de enero de 2026 por el Presupuesto—, el Legislativo cede por el débil control parlamentario y el Judicial es el eje más rezagado, estancado cerca de 31. Promedios del período: Prensa 77,9 · Legislativo 57,8 · Banco Central 50,4 · Ejecutivo 41,4 · Judicial 35,2.</w:t>
      </w:r>
    </w:p>
    <w:p>
      <w:pPr>
        <w:spacing w:before="120" w:after="120"/>
        <w:jc w:val="center"/>
      </w:pPr>
      <w:r>
        <w:drawing>
          <wp:inline xmlns:a="http://schemas.openxmlformats.org/drawingml/2006/main" xmlns:pic="http://schemas.openxmlformats.org/drawingml/2006/picture">
            <wp:extent cx="5760720" cy="3110789"/>
            <wp:docPr id="2" name="Picture 2"/>
            <wp:cNvGraphicFramePr>
              <a:graphicFrameLocks noChangeAspect="1"/>
            </wp:cNvGraphicFramePr>
            <a:graphic>
              <a:graphicData uri="http://schemas.openxmlformats.org/drawingml/2006/picture">
                <pic:pic>
                  <pic:nvPicPr>
                    <pic:cNvPr id="0" name="ITR_5ejes_mensual_Milei.png"/>
                    <pic:cNvPicPr/>
                  </pic:nvPicPr>
                  <pic:blipFill>
                    <a:blip r:embed="rId13"/>
                    <a:stretch>
                      <a:fillRect/>
                    </a:stretch>
                  </pic:blipFill>
                  <pic:spPr>
                    <a:xfrm>
                      <a:off x="0" y="0"/>
                      <a:ext cx="5760720" cy="3110789"/>
                    </a:xfrm>
                    <a:prstGeom prst="rect"/>
                  </pic:spPr>
                </pic:pic>
              </a:graphicData>
            </a:graphic>
          </wp:inline>
        </w:drawing>
      </w:r>
    </w:p>
    <w:p>
      <w:pPr>
        <w:spacing w:after="120" w:before="240" w:line="276" w:lineRule="auto"/>
      </w:pPr>
      <w:r>
        <w:rPr>
          <w:rFonts w:ascii="Open Sans" w:hAnsi="Open Sans" w:cs="Open Sans"/>
          <w:b/>
          <w:i w:val="0"/>
          <w:color w:val="FF0000"/>
          <w:sz w:val="26"/>
        </w:rPr>
        <w:t>3. Variación del mes (mayo 2026 vs. abril 2026)</w:t>
      </w:r>
    </w:p>
    <w:p>
      <w:pPr>
        <w:spacing w:after="120" w:before="0" w:line="276" w:lineRule="auto"/>
      </w:pPr>
      <w:r>
        <w:rPr>
          <w:rFonts w:ascii="Open Sans" w:hAnsi="Open Sans" w:cs="Open Sans"/>
          <w:b w:val="0"/>
          <w:i w:val="0"/>
          <w:color w:val="404040"/>
          <w:sz w:val="20"/>
        </w:rPr>
        <w:t>Variación de las cinco macrocategorías respecto del mes anterior:</w:t>
      </w:r>
    </w:p>
    <w:tbl>
      <w:tblPr>
        <w:tblStyle w:val="Tablaconcuadrcula"/>
        <w:tblW w:type="auto" w:w="0"/>
        <w:tblLook w:firstColumn="1" w:firstRow="1" w:lastColumn="0" w:lastRow="0" w:noHBand="0" w:noVBand="1" w:val="04A0"/>
      </w:tblPr>
      <w:tblGrid>
        <w:gridCol w:w="1991"/>
        <w:gridCol w:w="1991"/>
        <w:gridCol w:w="1991"/>
        <w:gridCol w:w="1991"/>
      </w:tblGrid>
      <w:tr>
        <w:tc>
          <w:tcPr>
            <w:tcW w:type="dxa" w:w="3744"/>
            <w:shd w:val="clear" w:fill="F2D9DC"/>
          </w:tcPr>
          <w:p>
            <w:pPr>
              <w:spacing w:after="0"/>
              <w:jc w:val="left"/>
            </w:pPr>
            <w:r/>
            <w:r>
              <w:rPr>
                <w:rFonts w:ascii="Open Sans" w:hAnsi="Open Sans" w:cs="Open Sans"/>
                <w:b/>
                <w:i w:val="0"/>
                <w:color w:val="404040"/>
                <w:sz w:val="19"/>
              </w:rPr>
              <w:t>Macrocategoría</w:t>
            </w:r>
          </w:p>
        </w:tc>
        <w:tc>
          <w:tcPr>
            <w:tcW w:type="dxa" w:w="1771"/>
            <w:shd w:val="clear" w:fill="F2D9DC"/>
          </w:tcPr>
          <w:p>
            <w:pPr>
              <w:spacing w:after="0"/>
              <w:jc w:val="center"/>
            </w:pPr>
            <w:r/>
            <w:r>
              <w:rPr>
                <w:rFonts w:ascii="Open Sans" w:hAnsi="Open Sans" w:cs="Open Sans"/>
                <w:b/>
                <w:i w:val="0"/>
                <w:color w:val="404040"/>
                <w:sz w:val="19"/>
              </w:rPr>
              <w:t>Abr-2026</w:t>
            </w:r>
          </w:p>
        </w:tc>
        <w:tc>
          <w:tcPr>
            <w:tcW w:type="dxa" w:w="1771"/>
            <w:shd w:val="clear" w:fill="F2D9DC"/>
          </w:tcPr>
          <w:p>
            <w:pPr>
              <w:spacing w:after="0"/>
              <w:jc w:val="center"/>
            </w:pPr>
            <w:r/>
            <w:r>
              <w:rPr>
                <w:rFonts w:ascii="Open Sans" w:hAnsi="Open Sans" w:cs="Open Sans"/>
                <w:b/>
                <w:i w:val="0"/>
                <w:color w:val="404040"/>
                <w:sz w:val="19"/>
              </w:rPr>
              <w:t>May-2026</w:t>
            </w:r>
          </w:p>
        </w:tc>
        <w:tc>
          <w:tcPr>
            <w:tcW w:type="dxa" w:w="1771"/>
            <w:shd w:val="clear" w:fill="F2D9DC"/>
          </w:tcPr>
          <w:p>
            <w:pPr>
              <w:spacing w:after="0"/>
              <w:jc w:val="center"/>
            </w:pPr>
            <w:r/>
            <w:r>
              <w:rPr>
                <w:rFonts w:ascii="Open Sans" w:hAnsi="Open Sans" w:cs="Open Sans"/>
                <w:b/>
                <w:i w:val="0"/>
                <w:color w:val="404040"/>
                <w:sz w:val="19"/>
              </w:rPr>
              <w:t>Δ</w:t>
            </w:r>
          </w:p>
        </w:tc>
      </w:tr>
      <w:tr>
        <w:tc>
          <w:tcPr>
            <w:tcW w:type="dxa" w:w="3744"/>
          </w:tcPr>
          <w:p>
            <w:pPr>
              <w:spacing w:after="0"/>
              <w:jc w:val="left"/>
            </w:pPr>
            <w:r/>
            <w:r>
              <w:rPr>
                <w:rFonts w:ascii="Open Sans" w:hAnsi="Open Sans" w:cs="Open Sans"/>
                <w:b/>
                <w:i w:val="0"/>
                <w:color w:val="404040"/>
                <w:sz w:val="19"/>
              </w:rPr>
              <w:t>Ejecutivo</w:t>
            </w:r>
          </w:p>
        </w:tc>
        <w:tc>
          <w:tcPr>
            <w:tcW w:type="dxa" w:w="1771"/>
          </w:tcPr>
          <w:p>
            <w:pPr>
              <w:spacing w:after="0"/>
              <w:jc w:val="center"/>
            </w:pPr>
            <w:r/>
            <w:r>
              <w:rPr>
                <w:rFonts w:ascii="Open Sans" w:hAnsi="Open Sans" w:cs="Open Sans"/>
                <w:b w:val="0"/>
                <w:i w:val="0"/>
                <w:color w:val="404040"/>
                <w:sz w:val="19"/>
              </w:rPr>
              <w:t>54,9</w:t>
            </w:r>
          </w:p>
        </w:tc>
        <w:tc>
          <w:tcPr>
            <w:tcW w:type="dxa" w:w="1771"/>
          </w:tcPr>
          <w:p>
            <w:pPr>
              <w:spacing w:after="0"/>
              <w:jc w:val="center"/>
            </w:pPr>
            <w:r/>
            <w:r>
              <w:rPr>
                <w:rFonts w:ascii="Open Sans" w:hAnsi="Open Sans" w:cs="Open Sans"/>
                <w:b w:val="0"/>
                <w:i w:val="0"/>
                <w:color w:val="404040"/>
                <w:sz w:val="19"/>
              </w:rPr>
              <w:t>54,6</w:t>
            </w:r>
          </w:p>
        </w:tc>
        <w:tc>
          <w:tcPr>
            <w:tcW w:type="dxa" w:w="1771"/>
          </w:tcPr>
          <w:p>
            <w:pPr>
              <w:spacing w:after="0"/>
              <w:jc w:val="center"/>
            </w:pPr>
            <w:r/>
            <w:r>
              <w:rPr>
                <w:rFonts w:ascii="Open Sans" w:hAnsi="Open Sans" w:cs="Open Sans"/>
                <w:b w:val="0"/>
                <w:i w:val="0"/>
                <w:color w:val="404040"/>
                <w:sz w:val="19"/>
              </w:rPr>
              <w:t>−0,3</w:t>
            </w:r>
          </w:p>
        </w:tc>
      </w:tr>
      <w:tr>
        <w:tc>
          <w:tcPr>
            <w:tcW w:type="dxa" w:w="3744"/>
          </w:tcPr>
          <w:p>
            <w:pPr>
              <w:spacing w:after="0"/>
              <w:jc w:val="left"/>
            </w:pPr>
            <w:r/>
            <w:r>
              <w:rPr>
                <w:rFonts w:ascii="Open Sans" w:hAnsi="Open Sans" w:cs="Open Sans"/>
                <w:b/>
                <w:i w:val="0"/>
                <w:color w:val="404040"/>
                <w:sz w:val="19"/>
              </w:rPr>
              <w:t>Legislativo</w:t>
            </w:r>
          </w:p>
        </w:tc>
        <w:tc>
          <w:tcPr>
            <w:tcW w:type="dxa" w:w="1771"/>
          </w:tcPr>
          <w:p>
            <w:pPr>
              <w:spacing w:after="0"/>
              <w:jc w:val="center"/>
            </w:pPr>
            <w:r/>
            <w:r>
              <w:rPr>
                <w:rFonts w:ascii="Open Sans" w:hAnsi="Open Sans" w:cs="Open Sans"/>
                <w:b w:val="0"/>
                <w:i w:val="0"/>
                <w:color w:val="404040"/>
                <w:sz w:val="19"/>
              </w:rPr>
              <w:t>54,5</w:t>
            </w:r>
          </w:p>
        </w:tc>
        <w:tc>
          <w:tcPr>
            <w:tcW w:type="dxa" w:w="1771"/>
          </w:tcPr>
          <w:p>
            <w:pPr>
              <w:spacing w:after="0"/>
              <w:jc w:val="center"/>
            </w:pPr>
            <w:r/>
            <w:r>
              <w:rPr>
                <w:rFonts w:ascii="Open Sans" w:hAnsi="Open Sans" w:cs="Open Sans"/>
                <w:b w:val="0"/>
                <w:i w:val="0"/>
                <w:color w:val="404040"/>
                <w:sz w:val="19"/>
              </w:rPr>
              <w:t>52,3</w:t>
            </w:r>
          </w:p>
        </w:tc>
        <w:tc>
          <w:tcPr>
            <w:tcW w:type="dxa" w:w="1771"/>
          </w:tcPr>
          <w:p>
            <w:pPr>
              <w:spacing w:after="0"/>
              <w:jc w:val="center"/>
            </w:pPr>
            <w:r/>
            <w:r>
              <w:rPr>
                <w:rFonts w:ascii="Open Sans" w:hAnsi="Open Sans" w:cs="Open Sans"/>
                <w:b w:val="0"/>
                <w:i w:val="0"/>
                <w:color w:val="404040"/>
                <w:sz w:val="19"/>
              </w:rPr>
              <w:t>−2,2</w:t>
            </w:r>
          </w:p>
        </w:tc>
      </w:tr>
      <w:tr>
        <w:tc>
          <w:tcPr>
            <w:tcW w:type="dxa" w:w="3744"/>
          </w:tcPr>
          <w:p>
            <w:pPr>
              <w:spacing w:after="0"/>
              <w:jc w:val="left"/>
            </w:pPr>
            <w:r/>
            <w:r>
              <w:rPr>
                <w:rFonts w:ascii="Open Sans" w:hAnsi="Open Sans" w:cs="Open Sans"/>
                <w:b/>
                <w:i w:val="0"/>
                <w:color w:val="404040"/>
                <w:sz w:val="19"/>
              </w:rPr>
              <w:t>Judicial</w:t>
            </w:r>
          </w:p>
        </w:tc>
        <w:tc>
          <w:tcPr>
            <w:tcW w:type="dxa" w:w="1771"/>
          </w:tcPr>
          <w:p>
            <w:pPr>
              <w:spacing w:after="0"/>
              <w:jc w:val="center"/>
            </w:pPr>
            <w:r/>
            <w:r>
              <w:rPr>
                <w:rFonts w:ascii="Open Sans" w:hAnsi="Open Sans" w:cs="Open Sans"/>
                <w:b w:val="0"/>
                <w:i w:val="0"/>
                <w:color w:val="404040"/>
                <w:sz w:val="19"/>
              </w:rPr>
              <w:t>30,8</w:t>
            </w:r>
          </w:p>
        </w:tc>
        <w:tc>
          <w:tcPr>
            <w:tcW w:type="dxa" w:w="1771"/>
          </w:tcPr>
          <w:p>
            <w:pPr>
              <w:spacing w:after="0"/>
              <w:jc w:val="center"/>
            </w:pPr>
            <w:r/>
            <w:r>
              <w:rPr>
                <w:rFonts w:ascii="Open Sans" w:hAnsi="Open Sans" w:cs="Open Sans"/>
                <w:b w:val="0"/>
                <w:i w:val="0"/>
                <w:color w:val="404040"/>
                <w:sz w:val="19"/>
              </w:rPr>
              <w:t>30,8</w:t>
            </w:r>
          </w:p>
        </w:tc>
        <w:tc>
          <w:tcPr>
            <w:tcW w:type="dxa" w:w="1771"/>
          </w:tcPr>
          <w:p>
            <w:pPr>
              <w:spacing w:after="0"/>
              <w:jc w:val="center"/>
            </w:pPr>
            <w:r/>
            <w:r>
              <w:rPr>
                <w:rFonts w:ascii="Open Sans" w:hAnsi="Open Sans" w:cs="Open Sans"/>
                <w:b w:val="0"/>
                <w:i w:val="0"/>
                <w:color w:val="404040"/>
                <w:sz w:val="19"/>
              </w:rPr>
              <w:t>0,0</w:t>
            </w:r>
          </w:p>
        </w:tc>
      </w:tr>
      <w:tr>
        <w:tc>
          <w:tcPr>
            <w:tcW w:type="dxa" w:w="3744"/>
          </w:tcPr>
          <w:p>
            <w:pPr>
              <w:spacing w:after="0"/>
              <w:jc w:val="left"/>
            </w:pPr>
            <w:r/>
            <w:r>
              <w:rPr>
                <w:rFonts w:ascii="Open Sans" w:hAnsi="Open Sans" w:cs="Open Sans"/>
                <w:b/>
                <w:i w:val="0"/>
                <w:color w:val="404040"/>
                <w:sz w:val="19"/>
              </w:rPr>
              <w:t>Prensa</w:t>
            </w:r>
          </w:p>
        </w:tc>
        <w:tc>
          <w:tcPr>
            <w:tcW w:type="dxa" w:w="1771"/>
          </w:tcPr>
          <w:p>
            <w:pPr>
              <w:spacing w:after="0"/>
              <w:jc w:val="center"/>
            </w:pPr>
            <w:r/>
            <w:r>
              <w:rPr>
                <w:rFonts w:ascii="Open Sans" w:hAnsi="Open Sans" w:cs="Open Sans"/>
                <w:b w:val="0"/>
                <w:i w:val="0"/>
                <w:color w:val="404040"/>
                <w:sz w:val="19"/>
              </w:rPr>
              <w:t>64,6</w:t>
            </w:r>
          </w:p>
        </w:tc>
        <w:tc>
          <w:tcPr>
            <w:tcW w:type="dxa" w:w="1771"/>
          </w:tcPr>
          <w:p>
            <w:pPr>
              <w:spacing w:after="0"/>
              <w:jc w:val="center"/>
            </w:pPr>
            <w:r/>
            <w:r>
              <w:rPr>
                <w:rFonts w:ascii="Open Sans" w:hAnsi="Open Sans" w:cs="Open Sans"/>
                <w:b w:val="0"/>
                <w:i w:val="0"/>
                <w:color w:val="404040"/>
                <w:sz w:val="19"/>
              </w:rPr>
              <w:t>66,8</w:t>
            </w:r>
          </w:p>
        </w:tc>
        <w:tc>
          <w:tcPr>
            <w:tcW w:type="dxa" w:w="1771"/>
          </w:tcPr>
          <w:p>
            <w:pPr>
              <w:spacing w:after="0"/>
              <w:jc w:val="center"/>
            </w:pPr>
            <w:r/>
            <w:r>
              <w:rPr>
                <w:rFonts w:ascii="Open Sans" w:hAnsi="Open Sans" w:cs="Open Sans"/>
                <w:b w:val="0"/>
                <w:i w:val="0"/>
                <w:color w:val="404040"/>
                <w:sz w:val="19"/>
              </w:rPr>
              <w:t>+2,2</w:t>
            </w:r>
          </w:p>
        </w:tc>
      </w:tr>
      <w:tr>
        <w:tc>
          <w:tcPr>
            <w:tcW w:type="dxa" w:w="3744"/>
          </w:tcPr>
          <w:p>
            <w:pPr>
              <w:spacing w:after="0"/>
              <w:jc w:val="left"/>
            </w:pPr>
            <w:r/>
            <w:r>
              <w:rPr>
                <w:rFonts w:ascii="Open Sans" w:hAnsi="Open Sans" w:cs="Open Sans"/>
                <w:b/>
                <w:i w:val="0"/>
                <w:color w:val="404040"/>
                <w:sz w:val="19"/>
              </w:rPr>
              <w:t>Banco Central</w:t>
            </w:r>
          </w:p>
        </w:tc>
        <w:tc>
          <w:tcPr>
            <w:tcW w:type="dxa" w:w="1771"/>
          </w:tcPr>
          <w:p>
            <w:pPr>
              <w:spacing w:after="0"/>
              <w:jc w:val="center"/>
            </w:pPr>
            <w:r/>
            <w:r>
              <w:rPr>
                <w:rFonts w:ascii="Open Sans" w:hAnsi="Open Sans" w:cs="Open Sans"/>
                <w:b w:val="0"/>
                <w:i w:val="0"/>
                <w:color w:val="404040"/>
                <w:sz w:val="19"/>
              </w:rPr>
              <w:t>66,8</w:t>
            </w:r>
          </w:p>
        </w:tc>
        <w:tc>
          <w:tcPr>
            <w:tcW w:type="dxa" w:w="1771"/>
          </w:tcPr>
          <w:p>
            <w:pPr>
              <w:spacing w:after="0"/>
              <w:jc w:val="center"/>
            </w:pPr>
            <w:r/>
            <w:r>
              <w:rPr>
                <w:rFonts w:ascii="Open Sans" w:hAnsi="Open Sans" w:cs="Open Sans"/>
                <w:b w:val="0"/>
                <w:i w:val="0"/>
                <w:color w:val="404040"/>
                <w:sz w:val="19"/>
              </w:rPr>
              <w:t>66,8</w:t>
            </w:r>
          </w:p>
        </w:tc>
        <w:tc>
          <w:tcPr>
            <w:tcW w:type="dxa" w:w="1771"/>
          </w:tcPr>
          <w:p>
            <w:pPr>
              <w:spacing w:after="0"/>
              <w:jc w:val="center"/>
            </w:pPr>
            <w:r/>
            <w:r>
              <w:rPr>
                <w:rFonts w:ascii="Open Sans" w:hAnsi="Open Sans" w:cs="Open Sans"/>
                <w:b w:val="0"/>
                <w:i w:val="0"/>
                <w:color w:val="404040"/>
                <w:sz w:val="19"/>
              </w:rPr>
              <w:t>0,0</w:t>
            </w:r>
          </w:p>
        </w:tc>
      </w:tr>
      <w:tr>
        <w:tc>
          <w:tcPr>
            <w:tcW w:type="dxa" w:w="3744"/>
          </w:tcPr>
          <w:p>
            <w:pPr>
              <w:spacing w:after="0"/>
              <w:jc w:val="left"/>
            </w:pPr>
            <w:r/>
            <w:r>
              <w:rPr>
                <w:rFonts w:ascii="Open Sans" w:hAnsi="Open Sans" w:cs="Open Sans"/>
                <w:b/>
                <w:i w:val="0"/>
                <w:color w:val="404040"/>
                <w:sz w:val="19"/>
              </w:rPr>
              <w:t>ITR (consolidado)</w:t>
            </w:r>
          </w:p>
        </w:tc>
        <w:tc>
          <w:tcPr>
            <w:tcW w:type="dxa" w:w="1771"/>
          </w:tcPr>
          <w:p>
            <w:pPr>
              <w:spacing w:after="0"/>
              <w:jc w:val="center"/>
            </w:pPr>
            <w:r/>
            <w:r>
              <w:rPr>
                <w:rFonts w:ascii="Open Sans" w:hAnsi="Open Sans" w:cs="Open Sans"/>
                <w:b w:val="0"/>
                <w:i w:val="0"/>
                <w:color w:val="404040"/>
                <w:sz w:val="19"/>
              </w:rPr>
              <w:t>53,2</w:t>
            </w:r>
          </w:p>
        </w:tc>
        <w:tc>
          <w:tcPr>
            <w:tcW w:type="dxa" w:w="1771"/>
          </w:tcPr>
          <w:p>
            <w:pPr>
              <w:spacing w:after="0"/>
              <w:jc w:val="center"/>
            </w:pPr>
            <w:r/>
            <w:r>
              <w:rPr>
                <w:rFonts w:ascii="Open Sans" w:hAnsi="Open Sans" w:cs="Open Sans"/>
                <w:b w:val="0"/>
                <w:i w:val="0"/>
                <w:color w:val="404040"/>
                <w:sz w:val="19"/>
              </w:rPr>
              <w:t>53,0</w:t>
            </w:r>
          </w:p>
        </w:tc>
        <w:tc>
          <w:tcPr>
            <w:tcW w:type="dxa" w:w="1771"/>
          </w:tcPr>
          <w:p>
            <w:pPr>
              <w:spacing w:after="0"/>
              <w:jc w:val="center"/>
            </w:pPr>
            <w:r/>
            <w:r>
              <w:rPr>
                <w:rFonts w:ascii="Open Sans" w:hAnsi="Open Sans" w:cs="Open Sans"/>
                <w:b w:val="0"/>
                <w:i w:val="0"/>
                <w:color w:val="404040"/>
                <w:sz w:val="19"/>
              </w:rPr>
              <w:t>−0,2</w:t>
            </w:r>
          </w:p>
        </w:tc>
      </w:tr>
    </w:tbl>
    <w:p>
      <w:pPr>
        <w:spacing w:after="40" w:before="0" w:line="276" w:lineRule="auto"/>
      </w:pPr>
      <w:r>
        <w:rPr>
          <w:rFonts w:ascii="Open Sans" w:hAnsi="Open Sans" w:cs="Open Sans"/>
          <w:b w:val="0"/>
          <w:i w:val="0"/>
          <w:color w:val="404040"/>
          <w:sz w:val="20"/>
        </w:rPr>
      </w:r>
    </w:p>
    <w:p>
      <w:pPr>
        <w:spacing w:after="120" w:before="0" w:line="276" w:lineRule="auto"/>
      </w:pPr>
      <w:r>
        <w:rPr>
          <w:rFonts w:ascii="Open Sans" w:hAnsi="Open Sans" w:cs="Open Sans"/>
          <w:b w:val="0"/>
          <w:i w:val="0"/>
          <w:color w:val="404040"/>
          <w:sz w:val="20"/>
        </w:rPr>
        <w:t>En mayo de 2026 el ITR cedió 0,2 punto. La Prensa recuperó solo de forma parcial (+2,2): el acceso de la prensa subió de 19,6 a 35,3 porque, tras el cierre total de la sala de periodistas en abril, el ITR aplica un arrastre asimétrico —el golpe es inmediato y la recuperación es gradual (plena a los tres meses)—, de modo que el daño institucional no se borra de un mes al otro. El Legislativo cedió 2,2 puntos por una baja en la calidad normativa; el Ejecutivo, el Judicial y el Banco Central se mantuvieron prácticamente sin cambios.</w:t>
      </w:r>
    </w:p>
    <w:p>
      <w:pPr>
        <w:spacing w:after="120" w:before="240" w:line="276" w:lineRule="auto"/>
      </w:pPr>
      <w:r>
        <w:rPr>
          <w:rFonts w:ascii="Open Sans" w:hAnsi="Open Sans" w:cs="Open Sans"/>
          <w:b/>
          <w:i w:val="0"/>
          <w:color w:val="FF0000"/>
          <w:sz w:val="26"/>
        </w:rPr>
        <w:t>4. Lectura de Libertad y Progreso</w:t>
      </w:r>
    </w:p>
    <w:p>
      <w:pPr>
        <w:spacing w:after="120" w:before="0" w:line="276" w:lineRule="auto"/>
      </w:pPr>
      <w:r>
        <w:rPr>
          <w:rFonts w:ascii="Open Sans" w:hAnsi="Open Sans" w:cs="Open Sans"/>
          <w:b w:val="0"/>
          <w:i w:val="0"/>
          <w:color w:val="404040"/>
          <w:sz w:val="20"/>
        </w:rPr>
        <w:t>El recorrido confirma un patrón: la transparencia republicana mejora donde manda la disciplina macroeconómica —fin de la emisión para financiar al fisco, respeto del límite legal de adelantos, repliegue del Estado en la pauta y los medios— y se estanca donde faltan los frenos y contrapesos. Gobernar por decreto, un Congreso que controla poco y una Justicia lenta son el techo que el propio rumbo liberal debería querer perforar. La consolidación del ordenamiento exige convertir el orden fiscal en orden institucional: menos decreto, más división de poderes.</w:t>
      </w:r>
    </w:p>
    <w:p>
      <w:pPr>
        <w:spacing w:after="120" w:before="160" w:line="276" w:lineRule="auto"/>
      </w:pPr>
      <w:r>
        <w:rPr>
          <w:rFonts w:ascii="Open Sans" w:hAnsi="Open Sans" w:cs="Open Sans"/>
          <w:b w:val="0"/>
          <w:i w:val="0"/>
          <w:color w:val="777777"/>
          <w:sz w:val="16"/>
        </w:rPr>
        <w:t>Nota metodológica: scores anclados al ideal absoluto, no a la posición relativa al pasado. Tasas y conteos suavizados a 12 meses; estados binarios (presupuesto, designación BCRA) sin suavizar; eventos puntuales (cierre de la sala de prensa) con arrastre asimétrico de 3 meses. El control de la corrupción quedó fuera por falta de dato duro periódico.</w:t>
      </w:r>
    </w:p>
    <w:sectPr w:rsidR="00A53109">
      <w:headerReference w:type="default" r:id="rId8"/>
      <w:footerReference w:type="default" r:id="rId9"/>
      <w:pgSz w:w="12240" w:h="15840"/>
      <w:pgMar w:top="1440" w:right="1440" w:bottom="1440" w:left="2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E54C" w14:textId="77777777" w:rsidR="00F77CBB" w:rsidRDefault="00F77CBB">
      <w:pPr>
        <w:spacing w:after="0" w:line="240" w:lineRule="auto"/>
      </w:pPr>
      <w:r>
        <w:separator/>
      </w:r>
    </w:p>
  </w:endnote>
  <w:endnote w:type="continuationSeparator" w:id="0">
    <w:p w14:paraId="67B6C11F" w14:textId="77777777" w:rsidR="00F77CBB" w:rsidRDefault="00F77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ontserrat">
    <w:altName w:val="Times New Roman"/>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9CB4" w14:textId="733605CD" w:rsidR="00EB67EE" w:rsidRPr="00FF3475" w:rsidRDefault="009D36B3">
    <w:pPr>
      <w:pBdr>
        <w:top w:val="nil"/>
        <w:left w:val="nil"/>
        <w:bottom w:val="nil"/>
        <w:right w:val="nil"/>
        <w:between w:val="nil"/>
      </w:pBdr>
      <w:tabs>
        <w:tab w:val="center" w:pos="4252"/>
        <w:tab w:val="right" w:pos="8504"/>
      </w:tabs>
      <w:spacing w:after="0" w:line="240" w:lineRule="auto"/>
      <w:rPr>
        <w:rFonts w:ascii="Open Sans" w:hAnsi="Open Sans" w:cs="Open Sans"/>
        <w:b/>
        <w:color w:val="C00000"/>
      </w:rPr>
    </w:pPr>
    <w:r>
      <w:rPr>
        <w:color w:val="000000"/>
      </w:rPr>
      <w:t xml:space="preserve"> </w:t>
    </w:r>
    <w:r>
      <w:rPr>
        <w:b/>
        <w:color w:val="C00000"/>
      </w:rPr>
      <w:tab/>
    </w:r>
    <w:r>
      <w:rPr>
        <w:b/>
        <w:color w:val="C00000"/>
      </w:rPr>
      <w:tab/>
    </w:r>
    <w:r>
      <w:rPr>
        <w:b/>
        <w:color w:val="C00000"/>
      </w:rPr>
      <w:tab/>
    </w:r>
    <w:r w:rsidRPr="00FF3475">
      <w:rPr>
        <w:rFonts w:ascii="Open Sans" w:eastAsia="Montserrat" w:hAnsi="Open Sans" w:cs="Open Sans"/>
        <w:b/>
        <w:color w:val="C00000"/>
      </w:rPr>
      <w:fldChar w:fldCharType="begin"/>
    </w:r>
    <w:r w:rsidRPr="00FF3475">
      <w:rPr>
        <w:rFonts w:ascii="Open Sans" w:eastAsia="Montserrat" w:hAnsi="Open Sans" w:cs="Open Sans"/>
        <w:b/>
        <w:color w:val="C00000"/>
      </w:rPr>
      <w:instrText>PAGE</w:instrText>
    </w:r>
    <w:r w:rsidRPr="00FF3475">
      <w:rPr>
        <w:rFonts w:ascii="Open Sans" w:eastAsia="Montserrat" w:hAnsi="Open Sans" w:cs="Open Sans"/>
        <w:b/>
        <w:color w:val="C00000"/>
      </w:rPr>
      <w:fldChar w:fldCharType="separate"/>
    </w:r>
    <w:r w:rsidR="00396BD4">
      <w:rPr>
        <w:rFonts w:ascii="Open Sans" w:eastAsia="Montserrat" w:hAnsi="Open Sans" w:cs="Open Sans"/>
        <w:b/>
        <w:noProof/>
        <w:color w:val="C00000"/>
      </w:rPr>
      <w:t>7</w:t>
    </w:r>
    <w:r w:rsidRPr="00FF3475">
      <w:rPr>
        <w:rFonts w:ascii="Open Sans" w:eastAsia="Montserrat" w:hAnsi="Open Sans" w:cs="Open Sans"/>
        <w:b/>
        <w:color w:val="C00000"/>
      </w:rPr>
      <w:fldChar w:fldCharType="end"/>
    </w:r>
    <w:r w:rsidRPr="00FF3475">
      <w:rPr>
        <w:rFonts w:ascii="Open Sans" w:hAnsi="Open Sans" w:cs="Open Sans"/>
        <w:noProof/>
        <w:lang w:val="es-419" w:eastAsia="es-419"/>
      </w:rPr>
      <mc:AlternateContent>
        <mc:Choice Requires="wps">
          <w:drawing>
            <wp:anchor distT="0" distB="0" distL="0" distR="0" simplePos="0" relativeHeight="251661312" behindDoc="1" locked="0" layoutInCell="1" hidden="0" allowOverlap="1" wp14:anchorId="0BB5FBC9" wp14:editId="5F88F8F4">
              <wp:simplePos x="0" y="0"/>
              <wp:positionH relativeFrom="column">
                <wp:posOffset>-1876424</wp:posOffset>
              </wp:positionH>
              <wp:positionV relativeFrom="paragraph">
                <wp:posOffset>160020</wp:posOffset>
              </wp:positionV>
              <wp:extent cx="6600825" cy="704850"/>
              <wp:effectExtent l="0" t="0" r="9525" b="0"/>
              <wp:wrapNone/>
              <wp:docPr id="2" name="Rectángulo 2"/>
              <wp:cNvGraphicFramePr/>
              <a:graphic xmlns:a="http://schemas.openxmlformats.org/drawingml/2006/main">
                <a:graphicData uri="http://schemas.microsoft.com/office/word/2010/wordprocessingShape">
                  <wps:wsp>
                    <wps:cNvSpPr/>
                    <wps:spPr>
                      <a:xfrm>
                        <a:off x="0" y="0"/>
                        <a:ext cx="6600825" cy="704850"/>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-1876424</wp:posOffset>
              </wp:positionH>
              <wp:positionV relativeFrom="paragraph">
                <wp:posOffset>160020</wp:posOffset>
              </wp:positionV>
              <wp:extent cx="6610350" cy="70485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610350" cy="704850"/>
                      </a:xfrm>
                      <a:prstGeom prst="rect"/>
                      <a:ln/>
                    </pic:spPr>
                  </pic:pic>
                </a:graphicData>
              </a:graphic>
            </wp:anchor>
          </w:drawing>
        </mc:Fallback>
      </mc:AlternateContent>
    </w:r>
    <w:r w:rsidRPr="00FF3475">
      <w:rPr>
        <w:rFonts w:ascii="Open Sans" w:hAnsi="Open Sans" w:cs="Open Sans"/>
        <w:noProof/>
        <w:lang w:val="es-419" w:eastAsia="es-419"/>
      </w:rPr>
      <w:drawing>
        <wp:anchor distT="0" distB="0" distL="0" distR="0" simplePos="0" relativeHeight="251662336" behindDoc="1" locked="0" layoutInCell="1" hidden="0" allowOverlap="1" wp14:anchorId="24C3858E" wp14:editId="7BE7550D">
          <wp:simplePos x="0" y="0"/>
          <wp:positionH relativeFrom="column">
            <wp:posOffset>57150</wp:posOffset>
          </wp:positionH>
          <wp:positionV relativeFrom="paragraph">
            <wp:posOffset>360045</wp:posOffset>
          </wp:positionV>
          <wp:extent cx="4381500" cy="259644"/>
          <wp:effectExtent l="0" t="0" r="0" b="0"/>
          <wp:wrapNone/>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4381500" cy="259644"/>
                  </a:xfrm>
                  <a:prstGeom prst="rect">
                    <a:avLst/>
                  </a:prstGeom>
                  <a:ln/>
                </pic:spPr>
              </pic:pic>
            </a:graphicData>
          </a:graphic>
        </wp:anchor>
      </w:drawing>
    </w:r>
    <w:r w:rsidRPr="00FF3475">
      <w:rPr>
        <w:rFonts w:ascii="Open Sans" w:hAnsi="Open Sans" w:cs="Open Sans"/>
        <w:noProof/>
        <w:lang w:val="es-419" w:eastAsia="es-419"/>
      </w:rPr>
      <w:drawing>
        <wp:anchor distT="0" distB="0" distL="0" distR="0" simplePos="0" relativeHeight="251663360" behindDoc="1" locked="0" layoutInCell="1" hidden="0" allowOverlap="1" wp14:anchorId="74B6C3F6" wp14:editId="2288B878">
          <wp:simplePos x="0" y="0"/>
          <wp:positionH relativeFrom="column">
            <wp:posOffset>-3009899</wp:posOffset>
          </wp:positionH>
          <wp:positionV relativeFrom="paragraph">
            <wp:posOffset>-953769</wp:posOffset>
          </wp:positionV>
          <wp:extent cx="3238500" cy="2857077"/>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3238500" cy="285707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90E22" w14:textId="77777777" w:rsidR="00F77CBB" w:rsidRDefault="00F77CBB">
      <w:pPr>
        <w:spacing w:after="0" w:line="240" w:lineRule="auto"/>
      </w:pPr>
      <w:r>
        <w:separator/>
      </w:r>
    </w:p>
  </w:footnote>
  <w:footnote w:type="continuationSeparator" w:id="0">
    <w:p w14:paraId="0275C1B3" w14:textId="77777777" w:rsidR="00F77CBB" w:rsidRDefault="00F77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80E3" w14:textId="0C90D586" w:rsidR="00EB67EE" w:rsidRPr="00203170" w:rsidRDefault="00203170" w:rsidP="00203170">
    <w:pPr>
      <w:pBdr>
        <w:bottom w:val="single" w:sz="8" w:space="1" w:color="7F7F7F" w:themeColor="text1" w:themeTint="80"/>
      </w:pBdr>
      <w:jc w:val="both"/>
      <w:rPr>
        <w:rFonts w:ascii="Open Sans" w:eastAsia="Open Sans" w:hAnsi="Open Sans" w:cs="Open Sans"/>
        <w:b/>
        <w:color w:val="808080" w:themeColor="background1" w:themeShade="80"/>
        <w:sz w:val="20"/>
        <w:szCs w:val="20"/>
      </w:rPr>
    </w:pPr>
    <w:r w:rsidRPr="001F08F5">
      <w:rPr>
        <w:rFonts w:ascii="Open Sans" w:eastAsia="Open Sans" w:hAnsi="Open Sans" w:cs="Open Sans"/>
        <w:b/>
        <w:color w:val="808080" w:themeColor="background1" w:themeShade="80"/>
        <w:sz w:val="20"/>
        <w:szCs w:val="20"/>
      </w:rPr>
      <w:t>INFORME DE POLÍTICAS PÚBLICAS</w:t>
    </w:r>
    <w:r w:rsidRPr="001F08F5">
      <w:rPr>
        <w:noProof/>
        <w:sz w:val="20"/>
        <w:szCs w:val="20"/>
        <w:lang w:val="es-419" w:eastAsia="es-419"/>
      </w:rPr>
      <mc:AlternateContent>
        <mc:Choice Requires="wps">
          <w:drawing>
            <wp:anchor distT="0" distB="0" distL="114300" distR="114300" simplePos="0" relativeHeight="251665408" behindDoc="0" locked="0" layoutInCell="1" hidden="0" allowOverlap="1" wp14:anchorId="274EEB37" wp14:editId="19A256E7">
              <wp:simplePos x="0" y="0"/>
              <wp:positionH relativeFrom="column">
                <wp:posOffset>-1390649</wp:posOffset>
              </wp:positionH>
              <wp:positionV relativeFrom="paragraph">
                <wp:posOffset>-457199</wp:posOffset>
              </wp:positionV>
              <wp:extent cx="826135" cy="915035"/>
              <wp:effectExtent l="0" t="0" r="0" b="0"/>
              <wp:wrapNone/>
              <wp:docPr id="13" name="Rectángulo 13"/>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B9CC4" id="Rectángulo 13" o:spid="_x0000_s1026" style="position:absolute;margin-left:-109.5pt;margin-top:-36pt;width:65.05pt;height:72.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" fillcolor="#db0032" stroked="f" strokeweight="2pt"/>
          </w:pict>
        </mc:Fallback>
      </mc:AlternateContent>
    </w:r>
    <w:r w:rsidRPr="001F08F5">
      <w:rPr>
        <w:noProof/>
        <w:sz w:val="20"/>
        <w:szCs w:val="20"/>
        <w:lang w:val="es-419" w:eastAsia="es-419"/>
      </w:rPr>
      <w:drawing>
        <wp:anchor distT="0" distB="0" distL="114300" distR="114300" simplePos="0" relativeHeight="251666432" behindDoc="0" locked="0" layoutInCell="1" hidden="0" allowOverlap="1" wp14:anchorId="03EC9F0F" wp14:editId="279EAC56">
          <wp:simplePos x="0" y="0"/>
          <wp:positionH relativeFrom="column">
            <wp:posOffset>-1390650</wp:posOffset>
          </wp:positionH>
          <wp:positionV relativeFrom="paragraph">
            <wp:posOffset>-304799</wp:posOffset>
          </wp:positionV>
          <wp:extent cx="827593" cy="729712"/>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Pr="001F08F5">
      <w:rPr>
        <w:noProof/>
        <w:sz w:val="20"/>
        <w:szCs w:val="20"/>
        <w:lang w:val="es-419" w:eastAsia="es-419"/>
      </w:rPr>
      <w:drawing>
        <wp:anchor distT="0" distB="0" distL="114300" distR="114300" simplePos="0" relativeHeight="251667456" behindDoc="0" locked="0" layoutInCell="1" hidden="0" allowOverlap="1" wp14:anchorId="0D462754" wp14:editId="575F6AF3">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15"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Pr="001F08F5">
      <w:rPr>
        <w:rFonts w:ascii="Open Sans" w:eastAsia="Open Sans" w:hAnsi="Open Sans" w:cs="Open Sans"/>
        <w:b/>
        <w:color w:val="808080" w:themeColor="background1" w:themeShade="80"/>
        <w:sz w:val="20"/>
        <w:szCs w:val="20"/>
      </w:rPr>
      <w:tab/>
    </w:r>
    <w:r w:rsidRPr="001F08F5">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t xml:space="preserve">         </w:t>
    </w:r>
    <w:r w:rsidR="0035502A">
      <w:rPr>
        <w:rFonts w:ascii="Open Sans" w:eastAsia="Open Sans" w:hAnsi="Open Sans" w:cs="Open Sans"/>
        <w:b/>
        <w:color w:val="808080" w:themeColor="background1" w:themeShade="80"/>
        <w:sz w:val="20"/>
        <w:szCs w:val="20"/>
      </w:rPr>
      <w:t>Junio</w:t>
    </w:r>
    <w:r w:rsidRPr="001F08F5">
      <w:rPr>
        <w:rFonts w:ascii="Open Sans" w:eastAsia="Open Sans" w:hAnsi="Open Sans" w:cs="Open Sans"/>
        <w:b/>
        <w:color w:val="808080" w:themeColor="background1" w:themeShade="80"/>
        <w:sz w:val="20"/>
        <w:szCs w:val="20"/>
      </w:rPr>
      <w:t xml:space="preserve"> 202</w:t>
    </w:r>
    <w:r w:rsidR="009D36B3">
      <w:rPr>
        <w:noProof/>
        <w:lang w:val="es-419" w:eastAsia="es-419"/>
      </w:rPr>
      <mc:AlternateContent>
        <mc:Choice Requires="wps">
          <w:drawing>
            <wp:anchor distT="0" distB="0" distL="114300" distR="114300" simplePos="0" relativeHeight="251658240" behindDoc="0" locked="0" layoutInCell="1" hidden="0" allowOverlap="1" wp14:anchorId="5FFD0720" wp14:editId="0907423A">
              <wp:simplePos x="0" y="0"/>
              <wp:positionH relativeFrom="column">
                <wp:posOffset>-1390649</wp:posOffset>
              </wp:positionH>
              <wp:positionV relativeFrom="paragraph">
                <wp:posOffset>-457199</wp:posOffset>
              </wp:positionV>
              <wp:extent cx="826135" cy="915035"/>
              <wp:effectExtent l="0" t="0" r="0" b="0"/>
              <wp:wrapNone/>
              <wp:docPr id="1" name="Rectángulo 1"/>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-1390649</wp:posOffset>
              </wp:positionH>
              <wp:positionV relativeFrom="paragraph">
                <wp:posOffset>-457199</wp:posOffset>
              </wp:positionV>
              <wp:extent cx="826135" cy="915035"/>
              <wp:effectExtent b="0" l="0" r="0" t="0"/>
              <wp:wrapNone/>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826135" cy="915035"/>
                      </a:xfrm>
                      <a:prstGeom prst="rect"/>
                      <a:ln/>
                    </pic:spPr>
                  </pic:pic>
                </a:graphicData>
              </a:graphic>
            </wp:anchor>
          </w:drawing>
        </mc:Fallback>
      </mc:AlternateContent>
    </w:r>
    <w:r w:rsidR="009D36B3">
      <w:rPr>
        <w:noProof/>
        <w:lang w:val="es-419" w:eastAsia="es-419"/>
      </w:rPr>
      <w:drawing>
        <wp:anchor distT="0" distB="0" distL="114300" distR="114300" simplePos="0" relativeHeight="251659264" behindDoc="0" locked="0" layoutInCell="1" hidden="0" allowOverlap="1" wp14:anchorId="76845840" wp14:editId="4E3A7D65">
          <wp:simplePos x="0" y="0"/>
          <wp:positionH relativeFrom="column">
            <wp:posOffset>-1390650</wp:posOffset>
          </wp:positionH>
          <wp:positionV relativeFrom="paragraph">
            <wp:posOffset>-304799</wp:posOffset>
          </wp:positionV>
          <wp:extent cx="827593" cy="729712"/>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009D36B3">
      <w:rPr>
        <w:noProof/>
        <w:lang w:val="es-419" w:eastAsia="es-419"/>
      </w:rPr>
      <w:drawing>
        <wp:anchor distT="0" distB="0" distL="114300" distR="114300" simplePos="0" relativeHeight="251660288" behindDoc="0" locked="0" layoutInCell="1" hidden="0" allowOverlap="1" wp14:anchorId="34E96621" wp14:editId="78FFE30A">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6"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00810E02">
      <w:rPr>
        <w:rFonts w:ascii="Open Sans" w:eastAsia="Open Sans" w:hAnsi="Open Sans" w:cs="Open Sans"/>
        <w:b/>
        <w:color w:val="808080" w:themeColor="background1" w:themeShade="8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AEA"/>
    <w:multiLevelType w:val="hybridMultilevel"/>
    <w:tmpl w:val="8A1848D6"/>
    <w:lvl w:ilvl="0" w:tplc="580A0001">
      <w:start w:val="1"/>
      <w:numFmt w:val="bullet"/>
      <w:lvlText w:val=""/>
      <w:lvlJc w:val="left"/>
      <w:pPr>
        <w:ind w:left="2421" w:hanging="360"/>
      </w:pPr>
      <w:rPr>
        <w:rFonts w:ascii="Symbol" w:hAnsi="Symbol" w:hint="default"/>
      </w:rPr>
    </w:lvl>
    <w:lvl w:ilvl="1" w:tplc="580A0003" w:tentative="1">
      <w:start w:val="1"/>
      <w:numFmt w:val="bullet"/>
      <w:lvlText w:val="o"/>
      <w:lvlJc w:val="left"/>
      <w:pPr>
        <w:ind w:left="3141" w:hanging="360"/>
      </w:pPr>
      <w:rPr>
        <w:rFonts w:ascii="Courier New" w:hAnsi="Courier New" w:cs="Courier New" w:hint="default"/>
      </w:rPr>
    </w:lvl>
    <w:lvl w:ilvl="2" w:tplc="580A0005" w:tentative="1">
      <w:start w:val="1"/>
      <w:numFmt w:val="bullet"/>
      <w:lvlText w:val=""/>
      <w:lvlJc w:val="left"/>
      <w:pPr>
        <w:ind w:left="3861" w:hanging="360"/>
      </w:pPr>
      <w:rPr>
        <w:rFonts w:ascii="Wingdings" w:hAnsi="Wingdings" w:hint="default"/>
      </w:rPr>
    </w:lvl>
    <w:lvl w:ilvl="3" w:tplc="580A0001" w:tentative="1">
      <w:start w:val="1"/>
      <w:numFmt w:val="bullet"/>
      <w:lvlText w:val=""/>
      <w:lvlJc w:val="left"/>
      <w:pPr>
        <w:ind w:left="4581" w:hanging="360"/>
      </w:pPr>
      <w:rPr>
        <w:rFonts w:ascii="Symbol" w:hAnsi="Symbol" w:hint="default"/>
      </w:rPr>
    </w:lvl>
    <w:lvl w:ilvl="4" w:tplc="580A0003" w:tentative="1">
      <w:start w:val="1"/>
      <w:numFmt w:val="bullet"/>
      <w:lvlText w:val="o"/>
      <w:lvlJc w:val="left"/>
      <w:pPr>
        <w:ind w:left="5301" w:hanging="360"/>
      </w:pPr>
      <w:rPr>
        <w:rFonts w:ascii="Courier New" w:hAnsi="Courier New" w:cs="Courier New" w:hint="default"/>
      </w:rPr>
    </w:lvl>
    <w:lvl w:ilvl="5" w:tplc="580A0005" w:tentative="1">
      <w:start w:val="1"/>
      <w:numFmt w:val="bullet"/>
      <w:lvlText w:val=""/>
      <w:lvlJc w:val="left"/>
      <w:pPr>
        <w:ind w:left="6021" w:hanging="360"/>
      </w:pPr>
      <w:rPr>
        <w:rFonts w:ascii="Wingdings" w:hAnsi="Wingdings" w:hint="default"/>
      </w:rPr>
    </w:lvl>
    <w:lvl w:ilvl="6" w:tplc="580A0001" w:tentative="1">
      <w:start w:val="1"/>
      <w:numFmt w:val="bullet"/>
      <w:lvlText w:val=""/>
      <w:lvlJc w:val="left"/>
      <w:pPr>
        <w:ind w:left="6741" w:hanging="360"/>
      </w:pPr>
      <w:rPr>
        <w:rFonts w:ascii="Symbol" w:hAnsi="Symbol" w:hint="default"/>
      </w:rPr>
    </w:lvl>
    <w:lvl w:ilvl="7" w:tplc="580A0003" w:tentative="1">
      <w:start w:val="1"/>
      <w:numFmt w:val="bullet"/>
      <w:lvlText w:val="o"/>
      <w:lvlJc w:val="left"/>
      <w:pPr>
        <w:ind w:left="7461" w:hanging="360"/>
      </w:pPr>
      <w:rPr>
        <w:rFonts w:ascii="Courier New" w:hAnsi="Courier New" w:cs="Courier New" w:hint="default"/>
      </w:rPr>
    </w:lvl>
    <w:lvl w:ilvl="8" w:tplc="580A0005" w:tentative="1">
      <w:start w:val="1"/>
      <w:numFmt w:val="bullet"/>
      <w:lvlText w:val=""/>
      <w:lvlJc w:val="left"/>
      <w:pPr>
        <w:ind w:left="8181" w:hanging="360"/>
      </w:pPr>
      <w:rPr>
        <w:rFonts w:ascii="Wingdings" w:hAnsi="Wingdings" w:hint="default"/>
      </w:rPr>
    </w:lvl>
  </w:abstractNum>
  <w:abstractNum w:abstractNumId="1" w15:restartNumberingAfterBreak="0">
    <w:nsid w:val="14484313"/>
    <w:multiLevelType w:val="hybridMultilevel"/>
    <w:tmpl w:val="052E17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33315621">
    <w:abstractNumId w:val="0"/>
  </w:num>
  <w:num w:numId="2" w16cid:durableId="35202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EE"/>
    <w:rsid w:val="0000752D"/>
    <w:rsid w:val="0004018B"/>
    <w:rsid w:val="00055F43"/>
    <w:rsid w:val="000A20E3"/>
    <w:rsid w:val="000B7F2B"/>
    <w:rsid w:val="000C1ED9"/>
    <w:rsid w:val="000D51FA"/>
    <w:rsid w:val="000E12DE"/>
    <w:rsid w:val="000E627A"/>
    <w:rsid w:val="000F2E96"/>
    <w:rsid w:val="001037BA"/>
    <w:rsid w:val="00103C02"/>
    <w:rsid w:val="00135212"/>
    <w:rsid w:val="001472AF"/>
    <w:rsid w:val="00163E83"/>
    <w:rsid w:val="00187188"/>
    <w:rsid w:val="00191068"/>
    <w:rsid w:val="001B1201"/>
    <w:rsid w:val="001B5BBD"/>
    <w:rsid w:val="001B7C74"/>
    <w:rsid w:val="001D5AE1"/>
    <w:rsid w:val="001F510D"/>
    <w:rsid w:val="001F55AF"/>
    <w:rsid w:val="001F60CF"/>
    <w:rsid w:val="001F6740"/>
    <w:rsid w:val="00203170"/>
    <w:rsid w:val="00203E17"/>
    <w:rsid w:val="00210474"/>
    <w:rsid w:val="00226B46"/>
    <w:rsid w:val="00227578"/>
    <w:rsid w:val="00234E37"/>
    <w:rsid w:val="002378BC"/>
    <w:rsid w:val="00244C6B"/>
    <w:rsid w:val="002502A3"/>
    <w:rsid w:val="00254EE9"/>
    <w:rsid w:val="002643B5"/>
    <w:rsid w:val="00287C91"/>
    <w:rsid w:val="00297862"/>
    <w:rsid w:val="002A69D7"/>
    <w:rsid w:val="002A7DE5"/>
    <w:rsid w:val="002B5899"/>
    <w:rsid w:val="002C38B0"/>
    <w:rsid w:val="00301B78"/>
    <w:rsid w:val="00301F5B"/>
    <w:rsid w:val="0030498B"/>
    <w:rsid w:val="00310654"/>
    <w:rsid w:val="0031336F"/>
    <w:rsid w:val="00313C81"/>
    <w:rsid w:val="00316C68"/>
    <w:rsid w:val="00342D98"/>
    <w:rsid w:val="00347338"/>
    <w:rsid w:val="0035502A"/>
    <w:rsid w:val="00355147"/>
    <w:rsid w:val="00360C33"/>
    <w:rsid w:val="00377F02"/>
    <w:rsid w:val="00387088"/>
    <w:rsid w:val="00394D56"/>
    <w:rsid w:val="00396BD4"/>
    <w:rsid w:val="003A09DC"/>
    <w:rsid w:val="003A3D4B"/>
    <w:rsid w:val="003B13D1"/>
    <w:rsid w:val="003E5A50"/>
    <w:rsid w:val="003F0501"/>
    <w:rsid w:val="004058FE"/>
    <w:rsid w:val="004262D8"/>
    <w:rsid w:val="0042750F"/>
    <w:rsid w:val="00447B8B"/>
    <w:rsid w:val="00451CBE"/>
    <w:rsid w:val="0046174B"/>
    <w:rsid w:val="00463066"/>
    <w:rsid w:val="0046622E"/>
    <w:rsid w:val="00487304"/>
    <w:rsid w:val="004B753A"/>
    <w:rsid w:val="004C139B"/>
    <w:rsid w:val="004C74B5"/>
    <w:rsid w:val="004D190E"/>
    <w:rsid w:val="004D6B65"/>
    <w:rsid w:val="004D7806"/>
    <w:rsid w:val="00542027"/>
    <w:rsid w:val="005565BE"/>
    <w:rsid w:val="00560604"/>
    <w:rsid w:val="00565DFF"/>
    <w:rsid w:val="005705EB"/>
    <w:rsid w:val="0058153D"/>
    <w:rsid w:val="00581E79"/>
    <w:rsid w:val="0058325B"/>
    <w:rsid w:val="005B59F3"/>
    <w:rsid w:val="005F02A6"/>
    <w:rsid w:val="005F39F2"/>
    <w:rsid w:val="00614375"/>
    <w:rsid w:val="0065066B"/>
    <w:rsid w:val="00653E60"/>
    <w:rsid w:val="0066060A"/>
    <w:rsid w:val="006A7DBD"/>
    <w:rsid w:val="006B2BA8"/>
    <w:rsid w:val="006B6313"/>
    <w:rsid w:val="006B6F30"/>
    <w:rsid w:val="006C0527"/>
    <w:rsid w:val="006D67CE"/>
    <w:rsid w:val="00712256"/>
    <w:rsid w:val="007200EB"/>
    <w:rsid w:val="00781588"/>
    <w:rsid w:val="00784400"/>
    <w:rsid w:val="0079022C"/>
    <w:rsid w:val="00790A7E"/>
    <w:rsid w:val="007974F0"/>
    <w:rsid w:val="007B1D59"/>
    <w:rsid w:val="007E720C"/>
    <w:rsid w:val="007F0FF9"/>
    <w:rsid w:val="00807A60"/>
    <w:rsid w:val="00810E02"/>
    <w:rsid w:val="00826252"/>
    <w:rsid w:val="008351B2"/>
    <w:rsid w:val="008421F1"/>
    <w:rsid w:val="00842C6C"/>
    <w:rsid w:val="0085000F"/>
    <w:rsid w:val="00851002"/>
    <w:rsid w:val="00866B2B"/>
    <w:rsid w:val="00873D76"/>
    <w:rsid w:val="00885224"/>
    <w:rsid w:val="008908CA"/>
    <w:rsid w:val="00891D64"/>
    <w:rsid w:val="008A3E6D"/>
    <w:rsid w:val="008B3574"/>
    <w:rsid w:val="008B5D75"/>
    <w:rsid w:val="008B763B"/>
    <w:rsid w:val="008F36C3"/>
    <w:rsid w:val="009043D6"/>
    <w:rsid w:val="009078BD"/>
    <w:rsid w:val="0092318B"/>
    <w:rsid w:val="00930944"/>
    <w:rsid w:val="0095138C"/>
    <w:rsid w:val="00962CF7"/>
    <w:rsid w:val="009658BB"/>
    <w:rsid w:val="00971E54"/>
    <w:rsid w:val="009B3EA8"/>
    <w:rsid w:val="009B51E2"/>
    <w:rsid w:val="009C432F"/>
    <w:rsid w:val="009D36B3"/>
    <w:rsid w:val="00A05D49"/>
    <w:rsid w:val="00A53109"/>
    <w:rsid w:val="00A57867"/>
    <w:rsid w:val="00AC6393"/>
    <w:rsid w:val="00AD0207"/>
    <w:rsid w:val="00AD1554"/>
    <w:rsid w:val="00AE5070"/>
    <w:rsid w:val="00AE5CEE"/>
    <w:rsid w:val="00B117F0"/>
    <w:rsid w:val="00B16FC3"/>
    <w:rsid w:val="00B37EA2"/>
    <w:rsid w:val="00B63C10"/>
    <w:rsid w:val="00B66016"/>
    <w:rsid w:val="00B81215"/>
    <w:rsid w:val="00BA462B"/>
    <w:rsid w:val="00BA57FA"/>
    <w:rsid w:val="00BC36C7"/>
    <w:rsid w:val="00BD1CAE"/>
    <w:rsid w:val="00BD1DB3"/>
    <w:rsid w:val="00BE242E"/>
    <w:rsid w:val="00C17C59"/>
    <w:rsid w:val="00C208BB"/>
    <w:rsid w:val="00C460E7"/>
    <w:rsid w:val="00C50EE6"/>
    <w:rsid w:val="00C6032B"/>
    <w:rsid w:val="00C60FED"/>
    <w:rsid w:val="00C6380B"/>
    <w:rsid w:val="00C8070D"/>
    <w:rsid w:val="00CA48FD"/>
    <w:rsid w:val="00CA720F"/>
    <w:rsid w:val="00CB3634"/>
    <w:rsid w:val="00CD496B"/>
    <w:rsid w:val="00CD6E0F"/>
    <w:rsid w:val="00CE0881"/>
    <w:rsid w:val="00CE0EFF"/>
    <w:rsid w:val="00CE145E"/>
    <w:rsid w:val="00D238F6"/>
    <w:rsid w:val="00D24284"/>
    <w:rsid w:val="00D57E00"/>
    <w:rsid w:val="00D71056"/>
    <w:rsid w:val="00D76C53"/>
    <w:rsid w:val="00D806F2"/>
    <w:rsid w:val="00DC1563"/>
    <w:rsid w:val="00DE312D"/>
    <w:rsid w:val="00DF7D0B"/>
    <w:rsid w:val="00E064BC"/>
    <w:rsid w:val="00E07379"/>
    <w:rsid w:val="00E40092"/>
    <w:rsid w:val="00E41014"/>
    <w:rsid w:val="00E42106"/>
    <w:rsid w:val="00E53818"/>
    <w:rsid w:val="00E57957"/>
    <w:rsid w:val="00E92EDB"/>
    <w:rsid w:val="00EA029D"/>
    <w:rsid w:val="00EB67EE"/>
    <w:rsid w:val="00EC7D20"/>
    <w:rsid w:val="00EF1FEC"/>
    <w:rsid w:val="00F008B8"/>
    <w:rsid w:val="00F043EA"/>
    <w:rsid w:val="00F337FC"/>
    <w:rsid w:val="00F73F9F"/>
    <w:rsid w:val="00F77CBB"/>
    <w:rsid w:val="00F85134"/>
    <w:rsid w:val="00F91BB3"/>
    <w:rsid w:val="00FA3EC0"/>
    <w:rsid w:val="00FA3F93"/>
    <w:rsid w:val="00FA5AD4"/>
    <w:rsid w:val="00FB44D1"/>
    <w:rsid w:val="00FD319E"/>
    <w:rsid w:val="00FD39DB"/>
    <w:rsid w:val="00FE154F"/>
    <w:rsid w:val="00FE2A00"/>
    <w:rsid w:val="00FF3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59A47"/>
  <w15:docId w15:val="{0593A561-8F4C-4F94-9096-DF668987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FF34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3475"/>
  </w:style>
  <w:style w:type="paragraph" w:styleId="Piedepgina">
    <w:name w:val="footer"/>
    <w:basedOn w:val="Normal"/>
    <w:link w:val="PiedepginaCar"/>
    <w:uiPriority w:val="99"/>
    <w:unhideWhenUsed/>
    <w:rsid w:val="00FF34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3475"/>
  </w:style>
  <w:style w:type="paragraph" w:styleId="Prrafodelista">
    <w:name w:val="List Paragraph"/>
    <w:basedOn w:val="Normal"/>
    <w:uiPriority w:val="34"/>
    <w:qFormat/>
    <w:rsid w:val="002A69D7"/>
    <w:pPr>
      <w:ind w:left="720"/>
      <w:contextualSpacing/>
    </w:pPr>
    <w:rPr>
      <w:rFonts w:asciiTheme="minorHAnsi" w:eastAsiaTheme="minorHAnsi" w:hAnsiTheme="minorHAnsi" w:cstheme="minorBidi"/>
      <w:lang w:val="es-ES"/>
    </w:rPr>
  </w:style>
  <w:style w:type="paragraph" w:styleId="NormalWeb">
    <w:name w:val="Normal (Web)"/>
    <w:basedOn w:val="Normal"/>
    <w:uiPriority w:val="99"/>
    <w:unhideWhenUsed/>
    <w:rsid w:val="00360C3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Refdecomentario">
    <w:name w:val="annotation reference"/>
    <w:basedOn w:val="Fuentedeprrafopredeter"/>
    <w:uiPriority w:val="99"/>
    <w:semiHidden/>
    <w:unhideWhenUsed/>
    <w:rsid w:val="00CE145E"/>
    <w:rPr>
      <w:sz w:val="16"/>
      <w:szCs w:val="16"/>
    </w:rPr>
  </w:style>
  <w:style w:type="paragraph" w:styleId="Textocomentario">
    <w:name w:val="annotation text"/>
    <w:basedOn w:val="Normal"/>
    <w:link w:val="TextocomentarioCar"/>
    <w:uiPriority w:val="99"/>
    <w:unhideWhenUsed/>
    <w:rsid w:val="00CE145E"/>
    <w:pPr>
      <w:spacing w:line="240" w:lineRule="auto"/>
    </w:pPr>
    <w:rPr>
      <w:sz w:val="20"/>
      <w:szCs w:val="20"/>
    </w:rPr>
  </w:style>
  <w:style w:type="character" w:customStyle="1" w:styleId="TextocomentarioCar">
    <w:name w:val="Texto comentario Car"/>
    <w:basedOn w:val="Fuentedeprrafopredeter"/>
    <w:link w:val="Textocomentario"/>
    <w:uiPriority w:val="99"/>
    <w:rsid w:val="00CE145E"/>
    <w:rPr>
      <w:sz w:val="20"/>
      <w:szCs w:val="20"/>
    </w:rPr>
  </w:style>
  <w:style w:type="paragraph" w:styleId="Asuntodelcomentario">
    <w:name w:val="annotation subject"/>
    <w:basedOn w:val="Textocomentario"/>
    <w:next w:val="Textocomentario"/>
    <w:link w:val="AsuntodelcomentarioCar"/>
    <w:uiPriority w:val="99"/>
    <w:semiHidden/>
    <w:unhideWhenUsed/>
    <w:rsid w:val="00CE145E"/>
    <w:rPr>
      <w:b/>
      <w:bCs/>
    </w:rPr>
  </w:style>
  <w:style w:type="character" w:customStyle="1" w:styleId="AsuntodelcomentarioCar">
    <w:name w:val="Asunto del comentario Car"/>
    <w:basedOn w:val="TextocomentarioCar"/>
    <w:link w:val="Asuntodelcomentario"/>
    <w:uiPriority w:val="99"/>
    <w:semiHidden/>
    <w:rsid w:val="00CE145E"/>
    <w:rPr>
      <w:b/>
      <w:bCs/>
      <w:sz w:val="20"/>
      <w:szCs w:val="20"/>
    </w:rPr>
  </w:style>
  <w:style w:type="paragraph" w:styleId="Revisin">
    <w:name w:val="Revision"/>
    <w:hidden/>
    <w:uiPriority w:val="99"/>
    <w:semiHidden/>
    <w:rsid w:val="004C139B"/>
    <w:pPr>
      <w:spacing w:after="0" w:line="240" w:lineRule="auto"/>
    </w:pPr>
  </w:style>
  <w:style w:type="paragraph" w:customStyle="1" w:styleId="Textonotapie1">
    <w:name w:val="Texto nota pie1"/>
    <w:basedOn w:val="Normal"/>
    <w:next w:val="Textonotapie"/>
    <w:link w:val="TextonotapieCar"/>
    <w:uiPriority w:val="99"/>
    <w:semiHidden/>
    <w:unhideWhenUsed/>
    <w:rsid w:val="00A53109"/>
    <w:pPr>
      <w:spacing w:after="0" w:line="240" w:lineRule="auto"/>
    </w:pPr>
    <w:rPr>
      <w:sz w:val="20"/>
      <w:szCs w:val="20"/>
    </w:rPr>
  </w:style>
  <w:style w:type="character" w:customStyle="1" w:styleId="TextonotapieCar">
    <w:name w:val="Texto nota pie Car"/>
    <w:basedOn w:val="Fuentedeprrafopredeter"/>
    <w:link w:val="Textonotapie1"/>
    <w:uiPriority w:val="99"/>
    <w:semiHidden/>
    <w:rsid w:val="00A53109"/>
    <w:rPr>
      <w:sz w:val="20"/>
      <w:szCs w:val="20"/>
    </w:rPr>
  </w:style>
  <w:style w:type="character" w:styleId="Refdenotaalpie">
    <w:name w:val="footnote reference"/>
    <w:basedOn w:val="Fuentedeprrafopredeter"/>
    <w:uiPriority w:val="99"/>
    <w:semiHidden/>
    <w:unhideWhenUsed/>
    <w:rsid w:val="00A53109"/>
    <w:rPr>
      <w:vertAlign w:val="superscript"/>
    </w:rPr>
  </w:style>
  <w:style w:type="character" w:customStyle="1" w:styleId="Hipervnculo1">
    <w:name w:val="Hipervínculo1"/>
    <w:basedOn w:val="Fuentedeprrafopredeter"/>
    <w:uiPriority w:val="99"/>
    <w:unhideWhenUsed/>
    <w:rsid w:val="00A53109"/>
    <w:rPr>
      <w:color w:val="0563C1"/>
      <w:u w:val="single"/>
    </w:rPr>
  </w:style>
  <w:style w:type="table" w:customStyle="1" w:styleId="Tablaconcuadrcula1">
    <w:name w:val="Tabla con cuadrícula1"/>
    <w:basedOn w:val="Tablanormal"/>
    <w:next w:val="Tablaconcuadrcula"/>
    <w:uiPriority w:val="39"/>
    <w:rsid w:val="00A53109"/>
    <w:pPr>
      <w:spacing w:after="0" w:line="240" w:lineRule="auto"/>
    </w:pPr>
    <w:rPr>
      <w:rFonts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1"/>
    <w:uiPriority w:val="99"/>
    <w:semiHidden/>
    <w:unhideWhenUsed/>
    <w:rsid w:val="00A53109"/>
    <w:pPr>
      <w:spacing w:after="0" w:line="240" w:lineRule="auto"/>
    </w:pPr>
    <w:rPr>
      <w:sz w:val="20"/>
      <w:szCs w:val="20"/>
    </w:rPr>
  </w:style>
  <w:style w:type="character" w:customStyle="1" w:styleId="TextonotapieCar1">
    <w:name w:val="Texto nota pie Car1"/>
    <w:basedOn w:val="Fuentedeprrafopredeter"/>
    <w:link w:val="Textonotapie"/>
    <w:uiPriority w:val="99"/>
    <w:semiHidden/>
    <w:rsid w:val="00A53109"/>
    <w:rPr>
      <w:sz w:val="20"/>
      <w:szCs w:val="20"/>
    </w:rPr>
  </w:style>
  <w:style w:type="table" w:styleId="Tablaconcuadrcula">
    <w:name w:val="Table Grid"/>
    <w:basedOn w:val="Tablanormal"/>
    <w:uiPriority w:val="39"/>
    <w:rsid w:val="00A53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94D56"/>
    <w:rPr>
      <w:color w:val="0000FF" w:themeColor="hyperlink"/>
      <w:u w:val="single"/>
    </w:rPr>
  </w:style>
  <w:style w:type="character" w:styleId="Mencinsinresolver">
    <w:name w:val="Unresolved Mention"/>
    <w:basedOn w:val="Fuentedeprrafopredeter"/>
    <w:uiPriority w:val="99"/>
    <w:semiHidden/>
    <w:unhideWhenUsed/>
    <w:rsid w:val="00394D56"/>
    <w:rPr>
      <w:color w:val="605E5C"/>
      <w:shd w:val="clear" w:color="auto" w:fill="E1DFDD"/>
    </w:rPr>
  </w:style>
  <w:style w:type="character" w:styleId="Hipervnculovisitado">
    <w:name w:val="FollowedHyperlink"/>
    <w:basedOn w:val="Fuentedeprrafopredeter"/>
    <w:uiPriority w:val="99"/>
    <w:semiHidden/>
    <w:unhideWhenUsed/>
    <w:rsid w:val="003F05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5922">
      <w:bodyDiv w:val="1"/>
      <w:marLeft w:val="0"/>
      <w:marRight w:val="0"/>
      <w:marTop w:val="0"/>
      <w:marBottom w:val="0"/>
      <w:divBdr>
        <w:top w:val="none" w:sz="0" w:space="0" w:color="auto"/>
        <w:left w:val="none" w:sz="0" w:space="0" w:color="auto"/>
        <w:bottom w:val="none" w:sz="0" w:space="0" w:color="auto"/>
        <w:right w:val="none" w:sz="0" w:space="0" w:color="auto"/>
      </w:divBdr>
    </w:div>
    <w:div w:id="1243760587">
      <w:bodyDiv w:val="1"/>
      <w:marLeft w:val="0"/>
      <w:marRight w:val="0"/>
      <w:marTop w:val="0"/>
      <w:marBottom w:val="0"/>
      <w:divBdr>
        <w:top w:val="none" w:sz="0" w:space="0" w:color="auto"/>
        <w:left w:val="none" w:sz="0" w:space="0" w:color="auto"/>
        <w:bottom w:val="none" w:sz="0" w:space="0" w:color="auto"/>
        <w:right w:val="none" w:sz="0" w:space="0" w:color="auto"/>
      </w:divBdr>
    </w:div>
    <w:div w:id="1670017959">
      <w:bodyDiv w:val="1"/>
      <w:marLeft w:val="0"/>
      <w:marRight w:val="0"/>
      <w:marTop w:val="0"/>
      <w:marBottom w:val="0"/>
      <w:divBdr>
        <w:top w:val="none" w:sz="0" w:space="0" w:color="auto"/>
        <w:left w:val="none" w:sz="0" w:space="0" w:color="auto"/>
        <w:bottom w:val="none" w:sz="0" w:space="0" w:color="auto"/>
        <w:right w:val="none" w:sz="0" w:space="0" w:color="auto"/>
      </w:divBdr>
    </w:div>
    <w:div w:id="2062777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5.png"/><Relationship Id="rId13" Type="http://schemas.openxmlformats.org/officeDocument/2006/relationships/image" Target="media/image6.png"/></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F3D50-7D1A-4865-BFE5-2AE2530FC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2</Words>
  <Characters>16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franco1 marconi</cp:lastModifiedBy>
  <cp:revision>12</cp:revision>
  <cp:lastPrinted>2024-09-12T19:30:00Z</cp:lastPrinted>
  <dcterms:created xsi:type="dcterms:W3CDTF">2024-09-17T17:58:00Z</dcterms:created>
  <dcterms:modified xsi:type="dcterms:W3CDTF">2026-01-27T13:39:00Z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ffc068bd2e02df4eeb8795c9e65fe78f41b55f45276d1d0e36ffc4546ebb0bd9</vt:lpwstr>
  </property>
</Properties>
</file>