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ED975" w14:textId="77777777" w:rsidR="00704B35" w:rsidRDefault="00F565CF">
      <w:r>
        <w:rPr>
          <w:rFonts w:ascii="Open Sans" w:hAnsi="Open Sans"/>
          <w:b/>
          <w:color w:val="C8102E"/>
          <w:sz w:val="36"/>
        </w:rPr>
        <w:t>ITR – DOCUMENTO DE MEJORAS METODOLÓGICAS Y HOJA DE RUTA</w:t>
      </w:r>
    </w:p>
    <w:p w14:paraId="07D56EE4" w14:textId="77777777" w:rsidR="00704B35" w:rsidRDefault="00F565CF">
      <w:pPr>
        <w:spacing w:after="80"/>
      </w:pPr>
      <w:r>
        <w:rPr>
          <w:rFonts w:ascii="Open Sans" w:hAnsi="Open Sans"/>
          <w:color w:val="404040"/>
          <w:sz w:val="20"/>
        </w:rPr>
        <w:t>Este documento consolida las decisiones de afinamiento del Índice de Transparencia Republicana (ITR): variables nuevas a adoptar, rediseño de indicadores, incorporación de estándares internacionales, reajuste de ponderaciones y una hoja de ruta de implementación. Cada propuesta fue sometida a un ejercicio de premortem: asumir que la variable falló o distorsionó el índice un año después, y trabajar hacia atrás para anticipar el problema.</w:t>
      </w:r>
    </w:p>
    <w:p w14:paraId="54153382" w14:textId="77777777" w:rsidR="00704B35" w:rsidRDefault="00F565CF">
      <w:pPr>
        <w:spacing w:before="200"/>
      </w:pPr>
      <w:r>
        <w:rPr>
          <w:rFonts w:ascii="Open Sans" w:hAnsi="Open Sans"/>
          <w:b/>
          <w:color w:val="C8102E"/>
          <w:sz w:val="24"/>
        </w:rPr>
        <w:t>1. Qué tomamos de los índices de referencia (y qué no)</w:t>
      </w:r>
    </w:p>
    <w:p w14:paraId="28E2E058" w14:textId="77777777" w:rsidR="00704B35" w:rsidRDefault="00F565CF">
      <w:pPr>
        <w:spacing w:after="80"/>
      </w:pPr>
      <w:r>
        <w:rPr>
          <w:rFonts w:ascii="Open Sans" w:hAnsi="Open Sans"/>
          <w:color w:val="404040"/>
          <w:sz w:val="20"/>
        </w:rPr>
        <w:t>Revisamos la metodología del WGI (Banco Mundial), V-Dem, Rule of Law Index (WJP), el ICI de RELIAL/Fundación Libertad y el Human Freedom Index (Cato/Fraser). Conclusión central: los cinco se construyen con percepción, encuesta o codificación de expertos. El ITR, basado en datos administrativos duros, es metodológicamente más riguroso. No copiamos su data; tomamos tres cosas:</w:t>
      </w:r>
    </w:p>
    <w:p w14:paraId="65D24017" w14:textId="77777777" w:rsidR="00704B35" w:rsidRDefault="00F565CF">
      <w:pPr>
        <w:spacing w:after="60"/>
        <w:ind w:left="280"/>
      </w:pPr>
      <w:r>
        <w:rPr>
          <w:rFonts w:ascii="Open Sans" w:hAnsi="Open Sans"/>
          <w:b/>
          <w:color w:val="404040"/>
          <w:sz w:val="20"/>
        </w:rPr>
        <w:t xml:space="preserve">• Estructura conceptual. </w:t>
      </w:r>
      <w:r>
        <w:rPr>
          <w:rFonts w:ascii="Open Sans" w:hAnsi="Open Sans"/>
          <w:color w:val="404040"/>
          <w:sz w:val="20"/>
        </w:rPr>
        <w:t>El Factor 1 del WJP —límites al poder por la legislatura, la justicia y la auditoría independiente— valida nuestras cuatro dimensiones (Ejecutivo, Legislativo, Judicial, Prensa).</w:t>
      </w:r>
    </w:p>
    <w:p w14:paraId="6B617BD3" w14:textId="77777777" w:rsidR="00704B35" w:rsidRDefault="00F565CF">
      <w:pPr>
        <w:spacing w:after="60"/>
        <w:ind w:left="280"/>
      </w:pPr>
      <w:r>
        <w:rPr>
          <w:rFonts w:ascii="Open Sans" w:hAnsi="Open Sans"/>
          <w:b/>
          <w:color w:val="404040"/>
          <w:sz w:val="20"/>
        </w:rPr>
        <w:t xml:space="preserve">• Método de conteo de eventos (event-count). </w:t>
      </w:r>
      <w:r>
        <w:rPr>
          <w:rFonts w:ascii="Open Sans" w:hAnsi="Open Sans"/>
          <w:color w:val="404040"/>
          <w:sz w:val="20"/>
        </w:rPr>
        <w:t>Es el enfoque del HFI (periodistas agredidos o detenidos, vía CPJ) y el único compatible con un índice de alta frecuencia. Habilita la variable de causas contra periodistas.</w:t>
      </w:r>
    </w:p>
    <w:p w14:paraId="67ED6DE3" w14:textId="77777777" w:rsidR="00704B35" w:rsidRDefault="00F565CF">
      <w:pPr>
        <w:spacing w:after="60"/>
        <w:ind w:left="280"/>
      </w:pPr>
      <w:r>
        <w:rPr>
          <w:rFonts w:ascii="Open Sans" w:hAnsi="Open Sans"/>
          <w:b/>
          <w:color w:val="404040"/>
          <w:sz w:val="20"/>
        </w:rPr>
        <w:t xml:space="preserve">• Indicadores puntuales adaptables. </w:t>
      </w:r>
      <w:r>
        <w:rPr>
          <w:rFonts w:ascii="Open Sans" w:hAnsi="Open Sans"/>
          <w:color w:val="404040"/>
          <w:sz w:val="20"/>
        </w:rPr>
        <w:t>Tasa de respuesta a pedidos de información (WJP Open Government), ataques a la prensa (HFI) y actividad de órganos de control como la AGN (WJP/V-Dem).</w:t>
      </w:r>
    </w:p>
    <w:p w14:paraId="41F36E1C" w14:textId="77777777" w:rsidR="00704B35" w:rsidRDefault="00F565CF">
      <w:pPr>
        <w:spacing w:after="80"/>
      </w:pPr>
      <w:r>
        <w:rPr>
          <w:rFonts w:ascii="Open Sans" w:hAnsi="Open Sans"/>
          <w:color w:val="404040"/>
          <w:sz w:val="20"/>
        </w:rPr>
        <w:t>Se excluye toda data de percepción. Del ICI tomamos solo la arquitectura de sub-índices ponderados, que ya aplicamos.</w:t>
      </w:r>
    </w:p>
    <w:p w14:paraId="486FE782" w14:textId="77777777" w:rsidR="00704B35" w:rsidRDefault="00F565CF">
      <w:pPr>
        <w:spacing w:before="200"/>
      </w:pPr>
      <w:r>
        <w:rPr>
          <w:rFonts w:ascii="Open Sans" w:hAnsi="Open Sans"/>
          <w:b/>
          <w:color w:val="C8102E"/>
          <w:sz w:val="24"/>
        </w:rPr>
        <w:t>2. Variables nuevas que se adoptan</w:t>
      </w:r>
    </w:p>
    <w:p w14:paraId="089099DF" w14:textId="77777777" w:rsidR="00704B35" w:rsidRDefault="00F565CF">
      <w:r>
        <w:rPr>
          <w:rFonts w:ascii="Open Sans" w:hAnsi="Open Sans"/>
          <w:b/>
          <w:color w:val="404040"/>
          <w:sz w:val="21"/>
        </w:rPr>
        <w:t>2.1 Transparencia: tasa de respuesta a pedidos de acceso a la información</w:t>
      </w:r>
    </w:p>
    <w:p w14:paraId="58D5FBB3" w14:textId="77777777" w:rsidR="00704B35" w:rsidRDefault="00F565CF">
      <w:pPr>
        <w:spacing w:after="80"/>
      </w:pPr>
      <w:r>
        <w:rPr>
          <w:rFonts w:ascii="Open Sans" w:hAnsi="Open Sans"/>
          <w:color w:val="404040"/>
          <w:sz w:val="20"/>
        </w:rPr>
        <w:t>El Índice de Transparencia de la AAIP saturaba en 100. Se reemplaza por la proporción de pedidos de acceso a la información (Ley 27.275) respondidos en plazo sobre los vencidos en el período, desde el dataset de microdato de la AAIP (datos.gob.ar). Signo: más respuestas en plazo, mejor. Cadencia mensual o trimestral. Premortem: solo cubre el Poder Ejecutivo (sistema GDE); una respuesta formal vacía cuenta como respondida; si caen las solicitudes la tasa sube artificialmente. Mitigación: medir respondidas en plazo sobre vencidas, no sobre el stock total.</w:t>
      </w:r>
    </w:p>
    <w:p w14:paraId="6D224929" w14:textId="77777777" w:rsidR="00704B35" w:rsidRDefault="00F565CF">
      <w:r>
        <w:rPr>
          <w:rFonts w:ascii="Open Sans" w:hAnsi="Open Sans"/>
          <w:b/>
          <w:color w:val="404040"/>
          <w:sz w:val="21"/>
        </w:rPr>
        <w:t>2.2 Causas del poder contra periodistas (Prensa, event-count)</w:t>
      </w:r>
    </w:p>
    <w:p w14:paraId="69C5801D" w14:textId="77777777" w:rsidR="00704B35" w:rsidRDefault="00F565CF">
      <w:pPr>
        <w:spacing w:after="80"/>
      </w:pPr>
      <w:r>
        <w:rPr>
          <w:rFonts w:ascii="Open Sans" w:hAnsi="Open Sans"/>
          <w:color w:val="404040"/>
          <w:sz w:val="20"/>
        </w:rPr>
        <w:t>Conteo de acciones judiciales iniciadas por el Estado o funcionarios contra periodistas (FOPEA, Monitoreo de Libertad de Expresión, categoría tipificada 10.A). Signo: más causas, peor. Premortem: dato de ONG con criterio propio, sin API (requiere scraping del sitio o del anuario), y pocos eventos por mes (ruido). Mitigación: ventana móvil de 12 meses y stale_flag.</w:t>
      </w:r>
    </w:p>
    <w:p w14:paraId="749F9452" w14:textId="77777777" w:rsidR="00704B35" w:rsidRDefault="00F565CF">
      <w:r>
        <w:rPr>
          <w:rFonts w:ascii="Open Sans" w:hAnsi="Open Sans"/>
          <w:b/>
          <w:color w:val="404040"/>
          <w:sz w:val="21"/>
        </w:rPr>
        <w:t>2.3 Costo del Poder Legislativo como porcentaje del gasto (Legislativo)</w:t>
      </w:r>
    </w:p>
    <w:p w14:paraId="70C83A6D" w14:textId="77777777" w:rsidR="00704B35" w:rsidRDefault="00F565CF">
      <w:pPr>
        <w:spacing w:after="80"/>
      </w:pPr>
      <w:r>
        <w:rPr>
          <w:rFonts w:ascii="Open Sans" w:hAnsi="Open Sans"/>
          <w:color w:val="404040"/>
          <w:sz w:val="20"/>
        </w:rPr>
        <w:t>Gasto devengado de la jurisdicción Poder Legislativo (DGSIAF) sobre el gasto público total. Signo: más caro, peor. Mensual e inflación-neutral por trabajar con participación. Premortem: en pesos nominales explotaría con la inflación (por eso share); la jurisdicción incluye Biblioteca, Imprenta y Defensoría, que conviene filtrar para un costo legislativo puro.</w:t>
      </w:r>
    </w:p>
    <w:p w14:paraId="6379FB44" w14:textId="77777777" w:rsidR="00704B35" w:rsidRDefault="00F565CF">
      <w:pPr>
        <w:spacing w:before="200"/>
      </w:pPr>
      <w:r>
        <w:rPr>
          <w:rFonts w:ascii="Open Sans" w:hAnsi="Open Sans"/>
          <w:b/>
          <w:color w:val="C8102E"/>
          <w:sz w:val="24"/>
        </w:rPr>
        <w:t>3. Variables a rediseñar o mejorar</w:t>
      </w:r>
    </w:p>
    <w:p w14:paraId="6104A700" w14:textId="77777777" w:rsidR="00704B35" w:rsidRDefault="00F565CF">
      <w:r>
        <w:rPr>
          <w:rFonts w:ascii="Open Sans" w:hAnsi="Open Sans"/>
          <w:b/>
          <w:color w:val="404040"/>
          <w:sz w:val="21"/>
        </w:rPr>
        <w:t>3.1 Justicia lenta es justicia mala: celeridad y congestión judicial</w:t>
      </w:r>
    </w:p>
    <w:p w14:paraId="248CC062" w14:textId="77777777" w:rsidR="00704B35" w:rsidRDefault="00F565CF">
      <w:pPr>
        <w:spacing w:after="80"/>
      </w:pPr>
      <w:r>
        <w:rPr>
          <w:rFonts w:ascii="Open Sans" w:hAnsi="Open Sans"/>
          <w:color w:val="404040"/>
          <w:sz w:val="20"/>
        </w:rPr>
        <w:t>Diseño: índice de celeridad = mediana de duración de los casos resueltos por la Corte (anuario CSJN; 2024: 385 días de mediana) combinada con el crecimiento del stock de causas pendientes (ingresadas menos resueltas). Signo: más lento y más atraso, peor. Limitación honesta: solo mide a la Corte; en Argentina no existe un dato nacional comparable de duración por instancia ni de causas de corrupción, de modo que no se fabrican. Mejora futura: incorporar duración por fuero si el PJN la publica de forma homogénea. Se integra a la variable de la Corte, que pasa a medir desempeño integral: resuelve vs. ingresa, más celeridad, más competencia originaria.</w:t>
      </w:r>
    </w:p>
    <w:p w14:paraId="03440571" w14:textId="77777777" w:rsidR="00704B35" w:rsidRDefault="00F565CF">
      <w:r>
        <w:rPr>
          <w:rFonts w:ascii="Open Sans" w:hAnsi="Open Sans"/>
          <w:b/>
          <w:color w:val="404040"/>
          <w:sz w:val="21"/>
        </w:rPr>
        <w:t>3.2 Ratio leyes / sesiones, mejorado</w:t>
      </w:r>
    </w:p>
    <w:p w14:paraId="0DB8C9F2" w14:textId="77777777" w:rsidR="00704B35" w:rsidRDefault="00F565CF">
      <w:pPr>
        <w:spacing w:after="80"/>
      </w:pPr>
      <w:r>
        <w:rPr>
          <w:rFonts w:ascii="Open Sans" w:hAnsi="Open Sans"/>
          <w:color w:val="404040"/>
          <w:sz w:val="20"/>
        </w:rPr>
        <w:t>El ratio crudo es ambiguo: premia sesiones-maratón que aprueban en bloque sin debate. Rediseño en dos señales limpias que se integran a Calidad Normativa: (a) sesiones realizadas vs. citadas —el cumplimiento del calendario; HCDN marca las fracasadas o no efectuadas—, que castiga a un Congreso que no se reúne; y (b) leyes sustantivas por sesión, usando nuestra clasificación de sustantivas vs. simbólicas, que premia la producción de fondo y no el volumen. Premortem: numerador (leyes) y denominador (sesiones) provienen de fuentes distintas; las extraordinarias distorsionan. Mitigación: contar solo sesiones efectivamente realizadas.</w:t>
      </w:r>
    </w:p>
    <w:p w14:paraId="642942E0" w14:textId="77777777" w:rsidR="00704B35" w:rsidRDefault="00F565CF">
      <w:r>
        <w:rPr>
          <w:rFonts w:ascii="Open Sans" w:hAnsi="Open Sans"/>
          <w:b/>
          <w:color w:val="404040"/>
          <w:sz w:val="21"/>
        </w:rPr>
        <w:t>3.3 Redes sociales: cómo incorporarlas sin premiar la propaganda</w:t>
      </w:r>
    </w:p>
    <w:p w14:paraId="41D1A333" w14:textId="77777777" w:rsidR="00704B35" w:rsidRDefault="00F565CF">
      <w:pPr>
        <w:spacing w:after="80"/>
      </w:pPr>
      <w:r>
        <w:rPr>
          <w:rFonts w:ascii="Open Sans" w:hAnsi="Open Sans"/>
          <w:color w:val="404040"/>
          <w:sz w:val="20"/>
        </w:rPr>
        <w:t>Medir más actividad como mejor es un error: más publicaciones puede ser más propaganda, lo que contradice nuestra variable de pauta. El rediseño mide responsividad, no volumen: la proporción de interacción o respuesta frente a la difusión unidireccional en un conjunto de cuentas oficiales clave. Dos caminos: piloto pago en la API de X (hoy pay-per-use, costo mensual bajo) midiendo respuestas vs. posts; o alternativa gratuita usando la cadencia de publicación en canales propios del Estado como proxy. Premortem: las APIs son pagas, cambian y se rompen, y el volumen puro tiene signo dudoso. Recomendación: piloto experimental de peso bajo, con la guarda explícita de que la mera actividad no suma puntaje.</w:t>
      </w:r>
    </w:p>
    <w:p w14:paraId="2A30D975" w14:textId="77777777" w:rsidR="00704B35" w:rsidRDefault="00F565CF">
      <w:r>
        <w:rPr>
          <w:rFonts w:ascii="Open Sans" w:hAnsi="Open Sans"/>
          <w:b/>
          <w:color w:val="404040"/>
          <w:sz w:val="21"/>
        </w:rPr>
        <w:t>3.4 AGN: control externo sin pasar por las cautelares</w:t>
      </w:r>
    </w:p>
    <w:p w14:paraId="08BB19EF" w14:textId="77777777" w:rsidR="00704B35" w:rsidRDefault="00F565CF">
      <w:pPr>
        <w:spacing w:after="80"/>
      </w:pPr>
      <w:r>
        <w:rPr>
          <w:rFonts w:ascii="Open Sans" w:hAnsi="Open Sans"/>
          <w:color w:val="404040"/>
          <w:sz w:val="20"/>
        </w:rPr>
        <w:t>Las medidas cautelares tienen signo invertido en un proceso de reforma —suelen blindar intereses privilegiados—, por lo que se descartan. En su lugar incorporamos el control externo positivo: la actividad de auditoría de la AGN, medida como cantidad de informes de auditoría aprobados o publicados por período (más control externo en funcionamiento, mejor). El Colegio de Auditores sesiona con frecuencia casi mensual. Premortem: el sitio de la AGN es una SPA con JavaScript (requiere navegador headless) y el volumen depende del calendario interno, no de la gravedad de los hallazgos. Mitigación: ventana móvil y, si hubiera dato, complementar con el porcentaje de observaciones efectivamente implementadas por el Ejecutivo.</w:t>
      </w:r>
    </w:p>
    <w:p w14:paraId="6ED481E6" w14:textId="77777777" w:rsidR="00704B35" w:rsidRDefault="00F565CF">
      <w:pPr>
        <w:spacing w:before="200"/>
      </w:pPr>
      <w:r>
        <w:rPr>
          <w:rFonts w:ascii="Open Sans" w:hAnsi="Open Sans"/>
          <w:b/>
          <w:color w:val="C8102E"/>
          <w:sz w:val="24"/>
        </w:rPr>
        <w:t>4. Organismos internacionales</w:t>
      </w:r>
    </w:p>
    <w:p w14:paraId="42E43689" w14:textId="77777777" w:rsidR="00704B35" w:rsidRDefault="00F565CF">
      <w:pPr>
        <w:spacing w:after="80"/>
      </w:pPr>
      <w:r>
        <w:rPr>
          <w:rFonts w:ascii="Open Sans" w:hAnsi="Open Sans"/>
          <w:color w:val="404040"/>
          <w:sz w:val="20"/>
        </w:rPr>
        <w:t>La Open Government Partnership (OGP) es la fuente más objetiva: compromisos asumidos y porcentaje cumplido según el mecanismo independiente (IRM). La adhesión a la OCDE es un indicador de etapa. La participación en cumbres es cualitativa y no comparable, por lo que se descarta. Recomendación: incorporar la OGP como componente estructural de baja frecuencia (con stale_flag) y peso pequeño, en la dimensión de gobierno abierto. Premortem: es casi constante entre ciclos (bienal), de modo que aporta poco a la variación mensual; sirve como piso estructural y señal de compromiso, no como motor de alta frecuencia.</w:t>
      </w:r>
    </w:p>
    <w:p w14:paraId="4B325057" w14:textId="77777777" w:rsidR="00704B35" w:rsidRDefault="00F565CF">
      <w:pPr>
        <w:spacing w:before="200"/>
      </w:pPr>
      <w:r>
        <w:rPr>
          <w:rFonts w:ascii="Open Sans" w:hAnsi="Open Sans"/>
          <w:b/>
          <w:color w:val="C8102E"/>
          <w:sz w:val="24"/>
        </w:rPr>
        <w:t>5. Reajuste de pesos y ponderaciones (propuesta)</w:t>
      </w:r>
    </w:p>
    <w:p w14:paraId="71EBEAF6" w14:textId="77777777" w:rsidR="00704B35" w:rsidRDefault="00F565CF">
      <w:pPr>
        <w:spacing w:after="80"/>
      </w:pPr>
      <w:r>
        <w:rPr>
          <w:rFonts w:ascii="Open Sans" w:hAnsi="Open Sans"/>
          <w:color w:val="404040"/>
          <w:sz w:val="20"/>
        </w:rPr>
        <w:t>Se mantienen los pesos macro por poder (35/25/25/15) y se redistribuyen los pesos internos para alojar las variables nuevas. Propuesta a discutir:</w:t>
      </w:r>
    </w:p>
    <w:tbl>
      <w:tblPr>
        <w:tblW w:w="0" w:type="auto"/>
        <w:jc w:val="center"/>
        <w:tblLook w:val="04A0" w:firstRow="1" w:lastRow="0" w:firstColumn="1" w:lastColumn="0" w:noHBand="0" w:noVBand="1"/>
      </w:tblPr>
      <w:tblGrid>
        <w:gridCol w:w="3982"/>
        <w:gridCol w:w="3982"/>
      </w:tblGrid>
      <w:tr w:rsidR="00704B35" w14:paraId="29531CB3" w14:textId="77777777">
        <w:trPr>
          <w:jc w:val="center"/>
        </w:trPr>
        <w:tc>
          <w:tcPr>
            <w:tcW w:w="3982" w:type="dxa"/>
          </w:tcPr>
          <w:p w14:paraId="1729036B" w14:textId="77777777" w:rsidR="00704B35" w:rsidRDefault="00F565CF">
            <w:r>
              <w:rPr>
                <w:rFonts w:ascii="Open Sans" w:hAnsi="Open Sans"/>
                <w:b/>
                <w:color w:val="404040"/>
                <w:sz w:val="19"/>
              </w:rPr>
              <w:t>Poder / Variable</w:t>
            </w:r>
          </w:p>
        </w:tc>
        <w:tc>
          <w:tcPr>
            <w:tcW w:w="3982" w:type="dxa"/>
          </w:tcPr>
          <w:p w14:paraId="0DEB0CB1" w14:textId="77777777" w:rsidR="00704B35" w:rsidRDefault="00F565CF">
            <w:pPr>
              <w:jc w:val="center"/>
            </w:pPr>
            <w:r>
              <w:rPr>
                <w:rFonts w:ascii="Open Sans" w:hAnsi="Open Sans"/>
                <w:b/>
                <w:color w:val="404040"/>
                <w:sz w:val="19"/>
              </w:rPr>
              <w:t>Peso</w:t>
            </w:r>
          </w:p>
        </w:tc>
      </w:tr>
      <w:tr w:rsidR="00704B35" w14:paraId="1F6C80A4" w14:textId="77777777">
        <w:trPr>
          <w:jc w:val="center"/>
        </w:trPr>
        <w:tc>
          <w:tcPr>
            <w:tcW w:w="3982" w:type="dxa"/>
          </w:tcPr>
          <w:p w14:paraId="4975CC6E" w14:textId="77777777" w:rsidR="00704B35" w:rsidRDefault="00F565CF">
            <w:r>
              <w:rPr>
                <w:rFonts w:ascii="Open Sans" w:hAnsi="Open Sans"/>
                <w:b/>
                <w:color w:val="404040"/>
                <w:sz w:val="19"/>
              </w:rPr>
              <w:t>PODER EJECUTIVO</w:t>
            </w:r>
          </w:p>
        </w:tc>
        <w:tc>
          <w:tcPr>
            <w:tcW w:w="3982" w:type="dxa"/>
          </w:tcPr>
          <w:p w14:paraId="328E0D02" w14:textId="77777777" w:rsidR="00704B35" w:rsidRDefault="00F565CF">
            <w:pPr>
              <w:jc w:val="center"/>
            </w:pPr>
            <w:r>
              <w:rPr>
                <w:rFonts w:ascii="Open Sans" w:hAnsi="Open Sans"/>
                <w:b/>
                <w:color w:val="404040"/>
                <w:sz w:val="19"/>
              </w:rPr>
              <w:t>35%</w:t>
            </w:r>
          </w:p>
        </w:tc>
      </w:tr>
      <w:tr w:rsidR="00704B35" w14:paraId="7CD1A96D" w14:textId="77777777">
        <w:trPr>
          <w:jc w:val="center"/>
        </w:trPr>
        <w:tc>
          <w:tcPr>
            <w:tcW w:w="3982" w:type="dxa"/>
          </w:tcPr>
          <w:p w14:paraId="4E7C33D4" w14:textId="77777777" w:rsidR="00704B35" w:rsidRDefault="00F565CF">
            <w:r>
              <w:rPr>
                <w:rFonts w:ascii="Open Sans" w:hAnsi="Open Sans"/>
                <w:color w:val="404040"/>
                <w:sz w:val="19"/>
              </w:rPr>
              <w:t xml:space="preserve">    DNU vs. Leyes</w:t>
            </w:r>
          </w:p>
        </w:tc>
        <w:tc>
          <w:tcPr>
            <w:tcW w:w="3982" w:type="dxa"/>
          </w:tcPr>
          <w:p w14:paraId="75974B23" w14:textId="77777777" w:rsidR="00704B35" w:rsidRDefault="00F565CF">
            <w:pPr>
              <w:jc w:val="center"/>
            </w:pPr>
            <w:r>
              <w:rPr>
                <w:rFonts w:ascii="Open Sans" w:hAnsi="Open Sans"/>
                <w:color w:val="404040"/>
                <w:sz w:val="19"/>
              </w:rPr>
              <w:t>12%</w:t>
            </w:r>
          </w:p>
        </w:tc>
      </w:tr>
      <w:tr w:rsidR="00704B35" w14:paraId="2B47D437" w14:textId="77777777">
        <w:trPr>
          <w:jc w:val="center"/>
        </w:trPr>
        <w:tc>
          <w:tcPr>
            <w:tcW w:w="3982" w:type="dxa"/>
          </w:tcPr>
          <w:p w14:paraId="3422D411" w14:textId="77777777" w:rsidR="00704B35" w:rsidRDefault="00F565CF">
            <w:r>
              <w:rPr>
                <w:rFonts w:ascii="Open Sans" w:hAnsi="Open Sans"/>
                <w:color w:val="404040"/>
                <w:sz w:val="19"/>
              </w:rPr>
              <w:t xml:space="preserve">    Discrecionalidad presupuestaria</w:t>
            </w:r>
          </w:p>
        </w:tc>
        <w:tc>
          <w:tcPr>
            <w:tcW w:w="3982" w:type="dxa"/>
          </w:tcPr>
          <w:p w14:paraId="2FFC5AE4" w14:textId="77777777" w:rsidR="00704B35" w:rsidRDefault="00F565CF">
            <w:pPr>
              <w:jc w:val="center"/>
            </w:pPr>
            <w:r>
              <w:rPr>
                <w:rFonts w:ascii="Open Sans" w:hAnsi="Open Sans"/>
                <w:color w:val="404040"/>
                <w:sz w:val="19"/>
              </w:rPr>
              <w:t>13%</w:t>
            </w:r>
          </w:p>
        </w:tc>
      </w:tr>
      <w:tr w:rsidR="00704B35" w14:paraId="160D30D1" w14:textId="77777777">
        <w:trPr>
          <w:jc w:val="center"/>
        </w:trPr>
        <w:tc>
          <w:tcPr>
            <w:tcW w:w="3982" w:type="dxa"/>
          </w:tcPr>
          <w:p w14:paraId="76225F72" w14:textId="77777777" w:rsidR="00704B35" w:rsidRDefault="00F565CF">
            <w:r>
              <w:rPr>
                <w:rFonts w:ascii="Open Sans" w:hAnsi="Open Sans"/>
                <w:color w:val="404040"/>
                <w:sz w:val="19"/>
              </w:rPr>
              <w:t xml:space="preserve">    Transparencia (tasa de respuesta AIP)</w:t>
            </w:r>
          </w:p>
        </w:tc>
        <w:tc>
          <w:tcPr>
            <w:tcW w:w="3982" w:type="dxa"/>
          </w:tcPr>
          <w:p w14:paraId="598B85BA" w14:textId="77777777" w:rsidR="00704B35" w:rsidRDefault="00F565CF">
            <w:pPr>
              <w:jc w:val="center"/>
            </w:pPr>
            <w:r>
              <w:rPr>
                <w:rFonts w:ascii="Open Sans" w:hAnsi="Open Sans"/>
                <w:color w:val="404040"/>
                <w:sz w:val="19"/>
              </w:rPr>
              <w:t>5%</w:t>
            </w:r>
          </w:p>
        </w:tc>
      </w:tr>
      <w:tr w:rsidR="00704B35" w14:paraId="09258826" w14:textId="77777777">
        <w:trPr>
          <w:jc w:val="center"/>
        </w:trPr>
        <w:tc>
          <w:tcPr>
            <w:tcW w:w="3982" w:type="dxa"/>
          </w:tcPr>
          <w:p w14:paraId="47F36792" w14:textId="77777777" w:rsidR="00704B35" w:rsidRDefault="00F565CF">
            <w:r>
              <w:rPr>
                <w:rFonts w:ascii="Open Sans" w:hAnsi="Open Sans"/>
                <w:color w:val="404040"/>
                <w:sz w:val="19"/>
              </w:rPr>
              <w:t xml:space="preserve">    AGN – control externo (nuevo)</w:t>
            </w:r>
          </w:p>
        </w:tc>
        <w:tc>
          <w:tcPr>
            <w:tcW w:w="3982" w:type="dxa"/>
          </w:tcPr>
          <w:p w14:paraId="2C2BE390" w14:textId="77777777" w:rsidR="00704B35" w:rsidRDefault="00F565CF">
            <w:pPr>
              <w:jc w:val="center"/>
            </w:pPr>
            <w:r>
              <w:rPr>
                <w:rFonts w:ascii="Open Sans" w:hAnsi="Open Sans"/>
                <w:color w:val="404040"/>
                <w:sz w:val="19"/>
              </w:rPr>
              <w:t>5%</w:t>
            </w:r>
          </w:p>
        </w:tc>
      </w:tr>
      <w:tr w:rsidR="00704B35" w14:paraId="069490B3" w14:textId="77777777">
        <w:trPr>
          <w:jc w:val="center"/>
        </w:trPr>
        <w:tc>
          <w:tcPr>
            <w:tcW w:w="3982" w:type="dxa"/>
          </w:tcPr>
          <w:p w14:paraId="75782DF4" w14:textId="77777777" w:rsidR="00704B35" w:rsidRDefault="00F565CF">
            <w:r>
              <w:rPr>
                <w:rFonts w:ascii="Open Sans" w:hAnsi="Open Sans"/>
                <w:b/>
                <w:color w:val="404040"/>
                <w:sz w:val="19"/>
              </w:rPr>
              <w:t>PODER LEGISLATIVO</w:t>
            </w:r>
          </w:p>
        </w:tc>
        <w:tc>
          <w:tcPr>
            <w:tcW w:w="3982" w:type="dxa"/>
          </w:tcPr>
          <w:p w14:paraId="4CDC75CA" w14:textId="77777777" w:rsidR="00704B35" w:rsidRDefault="00F565CF">
            <w:pPr>
              <w:jc w:val="center"/>
            </w:pPr>
            <w:r>
              <w:rPr>
                <w:rFonts w:ascii="Open Sans" w:hAnsi="Open Sans"/>
                <w:b/>
                <w:color w:val="404040"/>
                <w:sz w:val="19"/>
              </w:rPr>
              <w:t>25%</w:t>
            </w:r>
          </w:p>
        </w:tc>
      </w:tr>
      <w:tr w:rsidR="00704B35" w14:paraId="472CF8BB" w14:textId="77777777">
        <w:trPr>
          <w:jc w:val="center"/>
        </w:trPr>
        <w:tc>
          <w:tcPr>
            <w:tcW w:w="3982" w:type="dxa"/>
          </w:tcPr>
          <w:p w14:paraId="7705B0D6" w14:textId="77777777" w:rsidR="00704B35" w:rsidRDefault="00F565CF">
            <w:r>
              <w:rPr>
                <w:rFonts w:ascii="Open Sans" w:hAnsi="Open Sans"/>
                <w:color w:val="404040"/>
                <w:sz w:val="19"/>
              </w:rPr>
              <w:t xml:space="preserve">    Eficacia de control (art. 101)</w:t>
            </w:r>
          </w:p>
        </w:tc>
        <w:tc>
          <w:tcPr>
            <w:tcW w:w="3982" w:type="dxa"/>
          </w:tcPr>
          <w:p w14:paraId="45771F63" w14:textId="77777777" w:rsidR="00704B35" w:rsidRDefault="00F565CF">
            <w:pPr>
              <w:jc w:val="center"/>
            </w:pPr>
            <w:r>
              <w:rPr>
                <w:rFonts w:ascii="Open Sans" w:hAnsi="Open Sans"/>
                <w:color w:val="404040"/>
                <w:sz w:val="19"/>
              </w:rPr>
              <w:t>12%</w:t>
            </w:r>
          </w:p>
        </w:tc>
      </w:tr>
      <w:tr w:rsidR="00704B35" w14:paraId="0564EF89" w14:textId="77777777">
        <w:trPr>
          <w:jc w:val="center"/>
        </w:trPr>
        <w:tc>
          <w:tcPr>
            <w:tcW w:w="3982" w:type="dxa"/>
          </w:tcPr>
          <w:p w14:paraId="49B1E52A" w14:textId="77777777" w:rsidR="00704B35" w:rsidRDefault="00F565CF">
            <w:r>
              <w:rPr>
                <w:rFonts w:ascii="Open Sans" w:hAnsi="Open Sans"/>
                <w:color w:val="404040"/>
                <w:sz w:val="19"/>
              </w:rPr>
              <w:t xml:space="preserve">    Calidad normativa (incl. sesiones)</w:t>
            </w:r>
          </w:p>
        </w:tc>
        <w:tc>
          <w:tcPr>
            <w:tcW w:w="3982" w:type="dxa"/>
          </w:tcPr>
          <w:p w14:paraId="434B6B21" w14:textId="77777777" w:rsidR="00704B35" w:rsidRDefault="00F565CF">
            <w:pPr>
              <w:jc w:val="center"/>
            </w:pPr>
            <w:r>
              <w:rPr>
                <w:rFonts w:ascii="Open Sans" w:hAnsi="Open Sans"/>
                <w:color w:val="404040"/>
                <w:sz w:val="19"/>
              </w:rPr>
              <w:t>10%</w:t>
            </w:r>
          </w:p>
        </w:tc>
      </w:tr>
      <w:tr w:rsidR="00704B35" w14:paraId="4BFA7347" w14:textId="77777777">
        <w:trPr>
          <w:jc w:val="center"/>
        </w:trPr>
        <w:tc>
          <w:tcPr>
            <w:tcW w:w="3982" w:type="dxa"/>
          </w:tcPr>
          <w:p w14:paraId="445EBD62" w14:textId="77777777" w:rsidR="00704B35" w:rsidRDefault="00F565CF">
            <w:r>
              <w:rPr>
                <w:rFonts w:ascii="Open Sans" w:hAnsi="Open Sans"/>
                <w:color w:val="404040"/>
                <w:sz w:val="19"/>
              </w:rPr>
              <w:t xml:space="preserve">    Costo del Legislativo, % del gasto (nuevo)</w:t>
            </w:r>
          </w:p>
        </w:tc>
        <w:tc>
          <w:tcPr>
            <w:tcW w:w="3982" w:type="dxa"/>
          </w:tcPr>
          <w:p w14:paraId="5D231CA4" w14:textId="77777777" w:rsidR="00704B35" w:rsidRDefault="00F565CF">
            <w:pPr>
              <w:jc w:val="center"/>
            </w:pPr>
            <w:r>
              <w:rPr>
                <w:rFonts w:ascii="Open Sans" w:hAnsi="Open Sans"/>
                <w:color w:val="404040"/>
                <w:sz w:val="19"/>
              </w:rPr>
              <w:t>3%</w:t>
            </w:r>
          </w:p>
        </w:tc>
      </w:tr>
      <w:tr w:rsidR="00704B35" w14:paraId="35FE23D4" w14:textId="77777777">
        <w:trPr>
          <w:jc w:val="center"/>
        </w:trPr>
        <w:tc>
          <w:tcPr>
            <w:tcW w:w="3982" w:type="dxa"/>
          </w:tcPr>
          <w:p w14:paraId="23361693" w14:textId="77777777" w:rsidR="00704B35" w:rsidRDefault="00F565CF">
            <w:r>
              <w:rPr>
                <w:rFonts w:ascii="Open Sans" w:hAnsi="Open Sans"/>
                <w:b/>
                <w:color w:val="404040"/>
                <w:sz w:val="19"/>
              </w:rPr>
              <w:t>PODER JUDITRL</w:t>
            </w:r>
          </w:p>
        </w:tc>
        <w:tc>
          <w:tcPr>
            <w:tcW w:w="3982" w:type="dxa"/>
          </w:tcPr>
          <w:p w14:paraId="4137B3FB" w14:textId="77777777" w:rsidR="00704B35" w:rsidRDefault="00F565CF">
            <w:pPr>
              <w:jc w:val="center"/>
            </w:pPr>
            <w:r>
              <w:rPr>
                <w:rFonts w:ascii="Open Sans" w:hAnsi="Open Sans"/>
                <w:b/>
                <w:color w:val="404040"/>
                <w:sz w:val="19"/>
              </w:rPr>
              <w:t>25%</w:t>
            </w:r>
          </w:p>
        </w:tc>
      </w:tr>
      <w:tr w:rsidR="00704B35" w14:paraId="12CC1DBC" w14:textId="77777777">
        <w:trPr>
          <w:jc w:val="center"/>
        </w:trPr>
        <w:tc>
          <w:tcPr>
            <w:tcW w:w="3982" w:type="dxa"/>
          </w:tcPr>
          <w:p w14:paraId="75F8412B" w14:textId="77777777" w:rsidR="00704B35" w:rsidRDefault="00F565CF">
            <w:r>
              <w:rPr>
                <w:rFonts w:ascii="Open Sans" w:hAnsi="Open Sans"/>
                <w:color w:val="404040"/>
                <w:sz w:val="19"/>
              </w:rPr>
              <w:t xml:space="preserve">    Resolución de la Corte (+ celeridad + originaria)</w:t>
            </w:r>
          </w:p>
        </w:tc>
        <w:tc>
          <w:tcPr>
            <w:tcW w:w="3982" w:type="dxa"/>
          </w:tcPr>
          <w:p w14:paraId="1AF31760" w14:textId="77777777" w:rsidR="00704B35" w:rsidRDefault="00F565CF">
            <w:pPr>
              <w:jc w:val="center"/>
            </w:pPr>
            <w:r>
              <w:rPr>
                <w:rFonts w:ascii="Open Sans" w:hAnsi="Open Sans"/>
                <w:color w:val="404040"/>
                <w:sz w:val="19"/>
              </w:rPr>
              <w:t>10%</w:t>
            </w:r>
          </w:p>
        </w:tc>
      </w:tr>
      <w:tr w:rsidR="00704B35" w14:paraId="3AF95796" w14:textId="77777777">
        <w:trPr>
          <w:jc w:val="center"/>
        </w:trPr>
        <w:tc>
          <w:tcPr>
            <w:tcW w:w="3982" w:type="dxa"/>
          </w:tcPr>
          <w:p w14:paraId="674DD479" w14:textId="77777777" w:rsidR="00704B35" w:rsidRDefault="00F565CF">
            <w:r>
              <w:rPr>
                <w:rFonts w:ascii="Open Sans" w:hAnsi="Open Sans"/>
                <w:color w:val="404040"/>
                <w:sz w:val="19"/>
              </w:rPr>
              <w:t xml:space="preserve">    Integridad pública</w:t>
            </w:r>
          </w:p>
        </w:tc>
        <w:tc>
          <w:tcPr>
            <w:tcW w:w="3982" w:type="dxa"/>
          </w:tcPr>
          <w:p w14:paraId="5579621B" w14:textId="77777777" w:rsidR="00704B35" w:rsidRDefault="00F565CF">
            <w:pPr>
              <w:jc w:val="center"/>
            </w:pPr>
            <w:r>
              <w:rPr>
                <w:rFonts w:ascii="Open Sans" w:hAnsi="Open Sans"/>
                <w:color w:val="404040"/>
                <w:sz w:val="19"/>
              </w:rPr>
              <w:t>8%</w:t>
            </w:r>
          </w:p>
        </w:tc>
      </w:tr>
      <w:tr w:rsidR="00704B35" w14:paraId="05FE7131" w14:textId="77777777">
        <w:trPr>
          <w:jc w:val="center"/>
        </w:trPr>
        <w:tc>
          <w:tcPr>
            <w:tcW w:w="3982" w:type="dxa"/>
          </w:tcPr>
          <w:p w14:paraId="6212E94C" w14:textId="77777777" w:rsidR="00704B35" w:rsidRDefault="00F565CF">
            <w:r>
              <w:rPr>
                <w:rFonts w:ascii="Open Sans" w:hAnsi="Open Sans"/>
                <w:color w:val="404040"/>
                <w:sz w:val="19"/>
              </w:rPr>
              <w:t xml:space="preserve">    Cobertura judicial</w:t>
            </w:r>
          </w:p>
        </w:tc>
        <w:tc>
          <w:tcPr>
            <w:tcW w:w="3982" w:type="dxa"/>
          </w:tcPr>
          <w:p w14:paraId="2A22563F" w14:textId="77777777" w:rsidR="00704B35" w:rsidRDefault="00F565CF">
            <w:pPr>
              <w:jc w:val="center"/>
            </w:pPr>
            <w:r>
              <w:rPr>
                <w:rFonts w:ascii="Open Sans" w:hAnsi="Open Sans"/>
                <w:color w:val="404040"/>
                <w:sz w:val="19"/>
              </w:rPr>
              <w:t>7%</w:t>
            </w:r>
          </w:p>
        </w:tc>
      </w:tr>
      <w:tr w:rsidR="00704B35" w14:paraId="7924E1D9" w14:textId="77777777">
        <w:trPr>
          <w:jc w:val="center"/>
        </w:trPr>
        <w:tc>
          <w:tcPr>
            <w:tcW w:w="3982" w:type="dxa"/>
          </w:tcPr>
          <w:p w14:paraId="3B597446" w14:textId="77777777" w:rsidR="00704B35" w:rsidRDefault="00F565CF">
            <w:r>
              <w:rPr>
                <w:rFonts w:ascii="Open Sans" w:hAnsi="Open Sans"/>
                <w:b/>
                <w:color w:val="404040"/>
                <w:sz w:val="19"/>
              </w:rPr>
              <w:t>PRENSA INSTITUCIONAL</w:t>
            </w:r>
          </w:p>
        </w:tc>
        <w:tc>
          <w:tcPr>
            <w:tcW w:w="3982" w:type="dxa"/>
          </w:tcPr>
          <w:p w14:paraId="33E27760" w14:textId="77777777" w:rsidR="00704B35" w:rsidRDefault="00F565CF">
            <w:pPr>
              <w:jc w:val="center"/>
            </w:pPr>
            <w:r>
              <w:rPr>
                <w:rFonts w:ascii="Open Sans" w:hAnsi="Open Sans"/>
                <w:b/>
                <w:color w:val="404040"/>
                <w:sz w:val="19"/>
              </w:rPr>
              <w:t>15%</w:t>
            </w:r>
          </w:p>
        </w:tc>
      </w:tr>
      <w:tr w:rsidR="00704B35" w14:paraId="36B5AFBA" w14:textId="77777777">
        <w:trPr>
          <w:jc w:val="center"/>
        </w:trPr>
        <w:tc>
          <w:tcPr>
            <w:tcW w:w="3982" w:type="dxa"/>
          </w:tcPr>
          <w:p w14:paraId="1060F7F8" w14:textId="77777777" w:rsidR="00704B35" w:rsidRDefault="00F565CF">
            <w:r>
              <w:rPr>
                <w:rFonts w:ascii="Open Sans" w:hAnsi="Open Sans"/>
                <w:color w:val="404040"/>
                <w:sz w:val="19"/>
              </w:rPr>
              <w:t xml:space="preserve">    Escrutinio abierto</w:t>
            </w:r>
          </w:p>
        </w:tc>
        <w:tc>
          <w:tcPr>
            <w:tcW w:w="3982" w:type="dxa"/>
          </w:tcPr>
          <w:p w14:paraId="31E91FA6" w14:textId="77777777" w:rsidR="00704B35" w:rsidRDefault="00F565CF">
            <w:pPr>
              <w:jc w:val="center"/>
            </w:pPr>
            <w:r>
              <w:rPr>
                <w:rFonts w:ascii="Open Sans" w:hAnsi="Open Sans"/>
                <w:color w:val="404040"/>
                <w:sz w:val="19"/>
              </w:rPr>
              <w:t>6%</w:t>
            </w:r>
          </w:p>
        </w:tc>
      </w:tr>
      <w:tr w:rsidR="00704B35" w14:paraId="26D768BE" w14:textId="77777777">
        <w:trPr>
          <w:jc w:val="center"/>
        </w:trPr>
        <w:tc>
          <w:tcPr>
            <w:tcW w:w="3982" w:type="dxa"/>
          </w:tcPr>
          <w:p w14:paraId="348A6A54" w14:textId="77777777" w:rsidR="00704B35" w:rsidRDefault="00F565CF">
            <w:r>
              <w:rPr>
                <w:rFonts w:ascii="Open Sans" w:hAnsi="Open Sans"/>
                <w:color w:val="404040"/>
                <w:sz w:val="19"/>
              </w:rPr>
              <w:t xml:space="preserve">    Intensidad de pauta oficial</w:t>
            </w:r>
          </w:p>
        </w:tc>
        <w:tc>
          <w:tcPr>
            <w:tcW w:w="3982" w:type="dxa"/>
          </w:tcPr>
          <w:p w14:paraId="245141D9" w14:textId="77777777" w:rsidR="00704B35" w:rsidRDefault="00F565CF">
            <w:pPr>
              <w:jc w:val="center"/>
            </w:pPr>
            <w:r>
              <w:rPr>
                <w:rFonts w:ascii="Open Sans" w:hAnsi="Open Sans"/>
                <w:color w:val="404040"/>
                <w:sz w:val="19"/>
              </w:rPr>
              <w:t>5%</w:t>
            </w:r>
          </w:p>
        </w:tc>
      </w:tr>
      <w:tr w:rsidR="00704B35" w14:paraId="0F225E82" w14:textId="77777777">
        <w:trPr>
          <w:jc w:val="center"/>
        </w:trPr>
        <w:tc>
          <w:tcPr>
            <w:tcW w:w="3982" w:type="dxa"/>
          </w:tcPr>
          <w:p w14:paraId="2DCD494F" w14:textId="77777777" w:rsidR="00704B35" w:rsidRDefault="00F565CF">
            <w:r>
              <w:rPr>
                <w:rFonts w:ascii="Open Sans" w:hAnsi="Open Sans"/>
                <w:color w:val="404040"/>
                <w:sz w:val="19"/>
              </w:rPr>
              <w:t xml:space="preserve">    Causas del poder vs. periodistas (nuevo)</w:t>
            </w:r>
          </w:p>
        </w:tc>
        <w:tc>
          <w:tcPr>
            <w:tcW w:w="3982" w:type="dxa"/>
          </w:tcPr>
          <w:p w14:paraId="56B07750" w14:textId="77777777" w:rsidR="00704B35" w:rsidRDefault="00F565CF">
            <w:pPr>
              <w:jc w:val="center"/>
            </w:pPr>
            <w:r>
              <w:rPr>
                <w:rFonts w:ascii="Open Sans" w:hAnsi="Open Sans"/>
                <w:color w:val="404040"/>
                <w:sz w:val="19"/>
              </w:rPr>
              <w:t>4%</w:t>
            </w:r>
          </w:p>
        </w:tc>
      </w:tr>
    </w:tbl>
    <w:p w14:paraId="672A6659" w14:textId="77777777" w:rsidR="00704B35" w:rsidRDefault="00704B35">
      <w:pPr>
        <w:spacing w:after="80"/>
      </w:pPr>
    </w:p>
    <w:p w14:paraId="3179295E" w14:textId="77777777" w:rsidR="00704B35" w:rsidRDefault="00F565CF">
      <w:pPr>
        <w:spacing w:after="80"/>
      </w:pPr>
      <w:r>
        <w:rPr>
          <w:rFonts w:ascii="Open Sans" w:hAnsi="Open Sans"/>
          <w:color w:val="404040"/>
          <w:sz w:val="20"/>
        </w:rPr>
        <w:t>Cambios respecto del esquema actual: la Corte sube de 8% a 10% (absorbe celeridad y competencia originaria); Integridad baja de 10% a 8% (es la variable más débil); Eficacia de control cede 3 puntos para alojar el Costo del Legislativo; y dentro de Prensa, Escrutinio y Pauta ceden 4 puntos para las causas contra periodistas.</w:t>
      </w:r>
    </w:p>
    <w:p w14:paraId="726129A0" w14:textId="77777777" w:rsidR="00704B35" w:rsidRDefault="00F565CF">
      <w:pPr>
        <w:spacing w:before="200"/>
      </w:pPr>
      <w:r>
        <w:rPr>
          <w:rFonts w:ascii="Open Sans" w:hAnsi="Open Sans"/>
          <w:b/>
          <w:color w:val="C8102E"/>
          <w:sz w:val="24"/>
        </w:rPr>
        <w:t>6. Innovaciones metodológicas pendientes</w:t>
      </w:r>
    </w:p>
    <w:p w14:paraId="64F12EC6" w14:textId="77777777" w:rsidR="00704B35" w:rsidRDefault="00F565CF">
      <w:pPr>
        <w:spacing w:after="60"/>
        <w:ind w:left="280"/>
      </w:pPr>
      <w:r>
        <w:rPr>
          <w:rFonts w:ascii="Open Sans" w:hAnsi="Open Sans"/>
          <w:b/>
          <w:color w:val="404040"/>
          <w:sz w:val="20"/>
        </w:rPr>
        <w:t xml:space="preserve">• Normalización. </w:t>
      </w:r>
      <w:r>
        <w:rPr>
          <w:rFonts w:ascii="Open Sans" w:hAnsi="Open Sans"/>
          <w:color w:val="404040"/>
          <w:sz w:val="20"/>
        </w:rPr>
        <w:t>Revisar el min-max, que genera extremos 0/100 con variables de pocos valores; evaluar normalización por percentiles o winsorización, manteniendo el período base congelado.</w:t>
      </w:r>
    </w:p>
    <w:p w14:paraId="6375A062" w14:textId="77777777" w:rsidR="00704B35" w:rsidRDefault="00F565CF">
      <w:pPr>
        <w:spacing w:after="60"/>
        <w:ind w:left="280"/>
      </w:pPr>
      <w:r>
        <w:rPr>
          <w:rFonts w:ascii="Open Sans" w:hAnsi="Open Sans"/>
          <w:b/>
          <w:color w:val="404040"/>
          <w:sz w:val="20"/>
        </w:rPr>
        <w:t xml:space="preserve">• Signo de Integridad Pública. </w:t>
      </w:r>
      <w:r>
        <w:rPr>
          <w:rFonts w:ascii="Open Sans" w:hAnsi="Open Sans"/>
          <w:color w:val="404040"/>
          <w:sz w:val="20"/>
        </w:rPr>
        <w:t>Resolver la convención (menos persecución, ¿peor o reflejo de menos corrupción?), posiblemente combinando denuncias con condenas firmes.</w:t>
      </w:r>
    </w:p>
    <w:p w14:paraId="09714086" w14:textId="77777777" w:rsidR="00704B35" w:rsidRDefault="00F565CF">
      <w:pPr>
        <w:spacing w:after="60"/>
        <w:ind w:left="280"/>
      </w:pPr>
      <w:r>
        <w:rPr>
          <w:rFonts w:ascii="Open Sans" w:hAnsi="Open Sans"/>
          <w:b/>
          <w:color w:val="404040"/>
          <w:sz w:val="20"/>
        </w:rPr>
        <w:t xml:space="preserve">• Arquitectura de frecuencia. </w:t>
      </w:r>
      <w:r>
        <w:rPr>
          <w:rFonts w:ascii="Open Sans" w:hAnsi="Open Sans"/>
          <w:color w:val="404040"/>
          <w:sz w:val="20"/>
        </w:rPr>
        <w:t>Separar y reportar formalmente el sub-índice de alta frecuencia (mensual) y el estructural (anual con stale_flag).</w:t>
      </w:r>
    </w:p>
    <w:p w14:paraId="2E30CF7D" w14:textId="77777777" w:rsidR="00704B35" w:rsidRDefault="00F565CF">
      <w:pPr>
        <w:spacing w:after="60"/>
        <w:ind w:left="280"/>
      </w:pPr>
      <w:r>
        <w:rPr>
          <w:rFonts w:ascii="Open Sans" w:hAnsi="Open Sans"/>
          <w:b/>
          <w:color w:val="404040"/>
          <w:sz w:val="20"/>
        </w:rPr>
        <w:t xml:space="preserve">• Cobertura temporal. </w:t>
      </w:r>
      <w:r>
        <w:rPr>
          <w:rFonts w:ascii="Open Sans" w:hAnsi="Open Sans"/>
          <w:color w:val="404040"/>
          <w:sz w:val="20"/>
        </w:rPr>
        <w:t>Extender los Módulos 1 y 2 a 2026 y completar 2023 donde sea posible.</w:t>
      </w:r>
    </w:p>
    <w:p w14:paraId="3B0705EB" w14:textId="77777777" w:rsidR="00704B35" w:rsidRDefault="00F565CF">
      <w:pPr>
        <w:spacing w:after="60"/>
        <w:ind w:left="280"/>
      </w:pPr>
      <w:r>
        <w:rPr>
          <w:rFonts w:ascii="Open Sans" w:hAnsi="Open Sans"/>
          <w:b/>
          <w:color w:val="404040"/>
          <w:sz w:val="20"/>
        </w:rPr>
        <w:t xml:space="preserve">• Validación y alertas. </w:t>
      </w:r>
      <w:r>
        <w:rPr>
          <w:rFonts w:ascii="Open Sans" w:hAnsi="Open Sans"/>
          <w:color w:val="404040"/>
          <w:sz w:val="20"/>
        </w:rPr>
        <w:t>Gate de publicación: no publicar el mes si una variable falla la validación; snapshots y diffing del origen.</w:t>
      </w:r>
    </w:p>
    <w:p w14:paraId="48D751DF" w14:textId="77777777" w:rsidR="00704B35" w:rsidRDefault="00F565CF">
      <w:pPr>
        <w:spacing w:after="60"/>
        <w:ind w:left="280"/>
      </w:pPr>
      <w:r>
        <w:rPr>
          <w:rFonts w:ascii="Open Sans" w:hAnsi="Open Sans"/>
          <w:b/>
          <w:color w:val="404040"/>
          <w:sz w:val="20"/>
        </w:rPr>
        <w:t xml:space="preserve">• Despliegue. </w:t>
      </w:r>
      <w:r>
        <w:rPr>
          <w:rFonts w:ascii="Open Sans" w:hAnsi="Open Sans"/>
          <w:color w:val="404040"/>
          <w:sz w:val="20"/>
        </w:rPr>
        <w:t>GitHub Actions con corrida mensual el día 1, con rotación de proxies o navegador headless donde haga falta (AGN, votaciones de la Corte).</w:t>
      </w:r>
    </w:p>
    <w:p w14:paraId="6644D9EB" w14:textId="77777777" w:rsidR="00704B35" w:rsidRDefault="00F565CF">
      <w:pPr>
        <w:spacing w:after="60"/>
        <w:ind w:left="280"/>
      </w:pPr>
      <w:r>
        <w:rPr>
          <w:rFonts w:ascii="Open Sans" w:hAnsi="Open Sans"/>
          <w:b/>
          <w:color w:val="404040"/>
          <w:sz w:val="20"/>
        </w:rPr>
        <w:t xml:space="preserve">• Documentación pública. </w:t>
      </w:r>
      <w:r>
        <w:rPr>
          <w:rFonts w:ascii="Open Sans" w:hAnsi="Open Sans"/>
          <w:color w:val="404040"/>
          <w:sz w:val="20"/>
        </w:rPr>
        <w:t>Codebook por variable: la transparencia metodológica total es la mejor defensa del índice frente a la acusación de sesgo.</w:t>
      </w:r>
    </w:p>
    <w:p w14:paraId="7DC58312" w14:textId="77777777" w:rsidR="00704B35" w:rsidRDefault="00F565CF">
      <w:pPr>
        <w:spacing w:before="200"/>
      </w:pPr>
      <w:r>
        <w:rPr>
          <w:rFonts w:ascii="Open Sans" w:hAnsi="Open Sans"/>
          <w:b/>
          <w:color w:val="C8102E"/>
          <w:sz w:val="24"/>
        </w:rPr>
        <w:t>7. Hoja de ruta de implementación (orden sugerido)</w:t>
      </w:r>
    </w:p>
    <w:p w14:paraId="66C5BCB5" w14:textId="77777777" w:rsidR="00704B35" w:rsidRDefault="00F565CF">
      <w:pPr>
        <w:ind w:left="280"/>
      </w:pPr>
      <w:r>
        <w:rPr>
          <w:rFonts w:ascii="Open Sans" w:hAnsi="Open Sans"/>
          <w:b/>
          <w:color w:val="404040"/>
          <w:sz w:val="20"/>
        </w:rPr>
        <w:t xml:space="preserve">1. </w:t>
      </w:r>
      <w:r>
        <w:rPr>
          <w:rFonts w:ascii="Open Sans" w:hAnsi="Open Sans"/>
          <w:color w:val="404040"/>
          <w:sz w:val="20"/>
        </w:rPr>
        <w:t>Transparencia (tasa de respuesta AIP): reemplazo de alto impacto y robusto.</w:t>
      </w:r>
    </w:p>
    <w:p w14:paraId="4231BF74" w14:textId="77777777" w:rsidR="00704B35" w:rsidRDefault="00F565CF">
      <w:pPr>
        <w:ind w:left="280"/>
      </w:pPr>
      <w:r>
        <w:rPr>
          <w:rFonts w:ascii="Open Sans" w:hAnsi="Open Sans"/>
          <w:b/>
          <w:color w:val="404040"/>
          <w:sz w:val="20"/>
        </w:rPr>
        <w:t xml:space="preserve">2. </w:t>
      </w:r>
      <w:r>
        <w:rPr>
          <w:rFonts w:ascii="Open Sans" w:hAnsi="Open Sans"/>
          <w:color w:val="404040"/>
          <w:sz w:val="20"/>
        </w:rPr>
        <w:t>Costo del Legislativo (% del gasto): mensual y robusto.</w:t>
      </w:r>
    </w:p>
    <w:p w14:paraId="6A68684B" w14:textId="77777777" w:rsidR="00704B35" w:rsidRDefault="00F565CF">
      <w:pPr>
        <w:ind w:left="280"/>
      </w:pPr>
      <w:r>
        <w:rPr>
          <w:rFonts w:ascii="Open Sans" w:hAnsi="Open Sans"/>
          <w:b/>
          <w:color w:val="404040"/>
          <w:sz w:val="20"/>
        </w:rPr>
        <w:t xml:space="preserve">3. </w:t>
      </w:r>
      <w:r>
        <w:rPr>
          <w:rFonts w:ascii="Open Sans" w:hAnsi="Open Sans"/>
          <w:color w:val="404040"/>
          <w:sz w:val="20"/>
        </w:rPr>
        <w:t>Causas del poder contra periodistas (FOPEA): event-count.</w:t>
      </w:r>
    </w:p>
    <w:p w14:paraId="60B7A2DA" w14:textId="77777777" w:rsidR="00704B35" w:rsidRDefault="00F565CF">
      <w:pPr>
        <w:ind w:left="280"/>
      </w:pPr>
      <w:r>
        <w:rPr>
          <w:rFonts w:ascii="Open Sans" w:hAnsi="Open Sans"/>
          <w:b/>
          <w:color w:val="404040"/>
          <w:sz w:val="20"/>
        </w:rPr>
        <w:t xml:space="preserve">4. </w:t>
      </w:r>
      <w:r>
        <w:rPr>
          <w:rFonts w:ascii="Open Sans" w:hAnsi="Open Sans"/>
          <w:color w:val="404040"/>
          <w:sz w:val="20"/>
        </w:rPr>
        <w:t>Resolución de la Corte enriquecida: celeridad (duración + atraso) y competencia originaria.</w:t>
      </w:r>
    </w:p>
    <w:p w14:paraId="12013B06" w14:textId="77777777" w:rsidR="00704B35" w:rsidRDefault="00F565CF">
      <w:pPr>
        <w:ind w:left="280"/>
      </w:pPr>
      <w:r>
        <w:rPr>
          <w:rFonts w:ascii="Open Sans" w:hAnsi="Open Sans"/>
          <w:b/>
          <w:color w:val="404040"/>
          <w:sz w:val="20"/>
        </w:rPr>
        <w:t xml:space="preserve">5. </w:t>
      </w:r>
      <w:r>
        <w:rPr>
          <w:rFonts w:ascii="Open Sans" w:hAnsi="Open Sans"/>
          <w:color w:val="404040"/>
          <w:sz w:val="20"/>
        </w:rPr>
        <w:t>Calidad normativa mejorada: sesiones realizadas y leyes sustantivas por sesión.</w:t>
      </w:r>
    </w:p>
    <w:p w14:paraId="46A3DEEA" w14:textId="77777777" w:rsidR="00704B35" w:rsidRDefault="00F565CF">
      <w:pPr>
        <w:ind w:left="280"/>
      </w:pPr>
      <w:r>
        <w:rPr>
          <w:rFonts w:ascii="Open Sans" w:hAnsi="Open Sans"/>
          <w:b/>
          <w:color w:val="404040"/>
          <w:sz w:val="20"/>
        </w:rPr>
        <w:t xml:space="preserve">6. </w:t>
      </w:r>
      <w:r>
        <w:rPr>
          <w:rFonts w:ascii="Open Sans" w:hAnsi="Open Sans"/>
          <w:color w:val="404040"/>
          <w:sz w:val="20"/>
        </w:rPr>
        <w:t>AGN – control externo (con navegador headless).</w:t>
      </w:r>
    </w:p>
    <w:p w14:paraId="0A52D0B9" w14:textId="77777777" w:rsidR="00704B35" w:rsidRDefault="00F565CF">
      <w:pPr>
        <w:ind w:left="280"/>
      </w:pPr>
      <w:r>
        <w:rPr>
          <w:rFonts w:ascii="Open Sans" w:hAnsi="Open Sans"/>
          <w:b/>
          <w:color w:val="404040"/>
          <w:sz w:val="20"/>
        </w:rPr>
        <w:t xml:space="preserve">7. </w:t>
      </w:r>
      <w:r>
        <w:rPr>
          <w:rFonts w:ascii="Open Sans" w:hAnsi="Open Sans"/>
          <w:color w:val="404040"/>
          <w:sz w:val="20"/>
        </w:rPr>
        <w:t>Reajuste de pesos y revisión de la normalización.</w:t>
      </w:r>
    </w:p>
    <w:p w14:paraId="3E8754AC" w14:textId="77777777" w:rsidR="00704B35" w:rsidRDefault="00F565CF">
      <w:pPr>
        <w:ind w:left="280"/>
      </w:pPr>
      <w:r>
        <w:rPr>
          <w:rFonts w:ascii="Open Sans" w:hAnsi="Open Sans"/>
          <w:b/>
          <w:color w:val="404040"/>
          <w:sz w:val="20"/>
        </w:rPr>
        <w:t xml:space="preserve">8. </w:t>
      </w:r>
      <w:r>
        <w:rPr>
          <w:rFonts w:ascii="Open Sans" w:hAnsi="Open Sans"/>
          <w:color w:val="404040"/>
          <w:sz w:val="20"/>
        </w:rPr>
        <w:t>Pilotos: redes sociales (responsividad en X) y OGP estructural.</w:t>
      </w:r>
    </w:p>
    <w:p w14:paraId="755779C1" w14:textId="77777777" w:rsidR="00704B35" w:rsidRDefault="00F565CF">
      <w:pPr>
        <w:ind w:left="280"/>
      </w:pPr>
      <w:r>
        <w:rPr>
          <w:rFonts w:ascii="Open Sans" w:hAnsi="Open Sans"/>
          <w:b/>
          <w:color w:val="404040"/>
          <w:sz w:val="20"/>
        </w:rPr>
        <w:t xml:space="preserve">9. </w:t>
      </w:r>
      <w:r>
        <w:rPr>
          <w:rFonts w:ascii="Open Sans" w:hAnsi="Open Sans"/>
          <w:color w:val="404040"/>
          <w:sz w:val="20"/>
        </w:rPr>
        <w:t>Despliegue en GitHub Actions con validación y alertas.</w:t>
      </w:r>
    </w:p>
    <w:p w14:paraId="0A37501D" w14:textId="77777777" w:rsidR="00704B35" w:rsidRDefault="00F565CF">
      <w:r>
        <w:br w:type="page"/>
      </w:r>
    </w:p>
    <w:p w14:paraId="3CD88F1B" w14:textId="77777777" w:rsidR="00704B35" w:rsidRDefault="00F565CF">
      <w:pPr>
        <w:spacing w:before="240"/>
      </w:pPr>
      <w:r>
        <w:rPr>
          <w:b/>
          <w:color w:val="C8102E"/>
          <w:sz w:val="26"/>
        </w:rPr>
        <w:t>Hoja de ruta — decisiones de junio 2026</w:t>
      </w:r>
    </w:p>
    <w:p w14:paraId="48319448" w14:textId="77777777" w:rsidR="00704B35" w:rsidRDefault="00F565CF">
      <w:r>
        <w:rPr>
          <w:sz w:val="21"/>
        </w:rPr>
        <w:t>Ampliaciones acordadas para profundizar el ITR, en orden de prioridad de implementación.</w:t>
      </w:r>
    </w:p>
    <w:p w14:paraId="0F74D3D0" w14:textId="77777777" w:rsidR="00704B35" w:rsidRDefault="00F565CF">
      <w:pPr>
        <w:spacing w:before="120"/>
      </w:pPr>
      <w:r>
        <w:rPr>
          <w:b/>
          <w:color w:val="000000"/>
        </w:rPr>
        <w:t>1. Nuevo eje: Banco Central (15%)</w:t>
      </w:r>
    </w:p>
    <w:p w14:paraId="6374220E" w14:textId="77777777" w:rsidR="00704B35" w:rsidRDefault="00F565CF">
      <w:r>
        <w:rPr>
          <w:sz w:val="21"/>
        </w:rPr>
        <w:t>Quinto eje dedicado a las instituciones monetarias, peso 15% (igual que Prensa), por la centralidad de la moneda sana en el orden liberal. Razón conceptual: una autoridad monetaria que se respeta es un poder SEPARADO; meter su independencia dentro del Ejecutivo concedería que el BCRA es parte del Ejecutivo, lo contrario de lo que afirmamos. Rebalanceo macro: Ejecutivo 30 · Legislativo 20 · Judicial 20 · Prensa 15 · Banco Central 15.</w:t>
      </w:r>
    </w:p>
    <w:p w14:paraId="1E515D10" w14:textId="77777777" w:rsidR="00704B35" w:rsidRDefault="00F565CF">
      <w:pPr>
        <w:ind w:left="280"/>
      </w:pPr>
      <w:r>
        <w:rPr>
          <w:b/>
          <w:sz w:val="21"/>
        </w:rPr>
        <w:t xml:space="preserve">• Financiamiento monetario del déficit. </w:t>
      </w:r>
      <w:r>
        <w:rPr>
          <w:sz w:val="21"/>
        </w:rPr>
        <w:t>Asistencia del BCRA al Tesoro (transferencias de utilidades + adelantos transitorios) como porción de la base monetaria (BCRA, alta frecuencia). Ideal: 0 (sin dominancia fiscal); colapso: financiamiento alto.</w:t>
      </w:r>
    </w:p>
    <w:p w14:paraId="00D8A963" w14:textId="77777777" w:rsidR="00704B35" w:rsidRDefault="00F565CF">
      <w:pPr>
        <w:ind w:left="280"/>
      </w:pPr>
      <w:r>
        <w:rPr>
          <w:b/>
          <w:sz w:val="21"/>
        </w:rPr>
        <w:t xml:space="preserve">• Designación del Presidente del BCRA. </w:t>
      </w:r>
      <w:r>
        <w:rPr>
          <w:sz w:val="21"/>
        </w:rPr>
        <w:t>Estructural y binaria: CON acuerdo del Senado (Carta Orgánica / CN) = pleno; en comisión por decreto = penalizado. No se suaviza.</w:t>
      </w:r>
    </w:p>
    <w:p w14:paraId="6A52C973" w14:textId="77777777" w:rsidR="00704B35" w:rsidRDefault="00F565CF">
      <w:pPr>
        <w:ind w:left="280"/>
      </w:pPr>
      <w:r>
        <w:rPr>
          <w:b/>
          <w:sz w:val="21"/>
        </w:rPr>
        <w:t xml:space="preserve">• Letras intransferibles por reservas. </w:t>
      </w:r>
      <w:r>
        <w:rPr>
          <w:sz w:val="21"/>
        </w:rPr>
        <w:t>Stock/uso de letras intransferibles que el Tesoro entrega al BCRA a cambio de reservas (deuda de mala calidad que licúa el activo del Central). Su existencia/crecimiento es negativo; su saneamiento/eliminación, positivo. Fuente: balance del BCRA.</w:t>
      </w:r>
    </w:p>
    <w:p w14:paraId="3C12433B" w14:textId="77777777" w:rsidR="00704B35" w:rsidRDefault="00F565CF">
      <w:pPr>
        <w:spacing w:before="120"/>
      </w:pPr>
      <w:r>
        <w:rPr>
          <w:b/>
          <w:color w:val="000000"/>
        </w:rPr>
        <w:t>2. ATN — Aportes del Tesoro Nacional (Ejecutivo)</w:t>
      </w:r>
    </w:p>
    <w:p w14:paraId="4BBF4FEC" w14:textId="77777777" w:rsidR="00704B35" w:rsidRDefault="00F565CF">
      <w:r>
        <w:rPr>
          <w:sz w:val="21"/>
        </w:rPr>
        <w:t>Federalismo / discrecionalidad federal. Share del devengado en ATN sobre el gasto (DGSIAF, mismo origen que pauta/costo). Más ATN repartidos a dedo a las provincias = más palanca sobre gobernadores = peor. EN IMPLEMENTACIÓN (scraper_16_atn.py).</w:t>
      </w:r>
    </w:p>
    <w:p w14:paraId="0826DE70" w14:textId="77777777" w:rsidR="00704B35" w:rsidRDefault="00F565CF">
      <w:pPr>
        <w:spacing w:before="120"/>
      </w:pPr>
      <w:r>
        <w:rPr>
          <w:b/>
          <w:color w:val="000000"/>
        </w:rPr>
        <w:t>3. Prensa — variables candidatas a sumar</w:t>
      </w:r>
    </w:p>
    <w:p w14:paraId="2C6F3549" w14:textId="77777777" w:rsidR="00704B35" w:rsidRDefault="00F565CF">
      <w:pPr>
        <w:ind w:left="280"/>
      </w:pPr>
      <w:r>
        <w:rPr>
          <w:b/>
          <w:sz w:val="21"/>
        </w:rPr>
        <w:t xml:space="preserve">• Pauta por medios (concentración). </w:t>
      </w:r>
      <w:r>
        <w:rPr>
          <w:sz w:val="21"/>
        </w:rPr>
        <w:t>Distribución de la pauta oficial entre medios (HHI/concentración): cuanto más concentrada, mayor capacidad de cooptación editorial. Requiere dataset de pauta por medio.</w:t>
      </w:r>
    </w:p>
    <w:p w14:paraId="45A04C10" w14:textId="77777777" w:rsidR="00704B35" w:rsidRDefault="00F565CF">
      <w:pPr>
        <w:ind w:left="280"/>
      </w:pPr>
      <w:r>
        <w:rPr>
          <w:b/>
          <w:sz w:val="21"/>
        </w:rPr>
        <w:t xml:space="preserve">• Medios oficiales y su peso. </w:t>
      </w:r>
      <w:r>
        <w:rPr>
          <w:sz w:val="21"/>
        </w:rPr>
        <w:t>Existencia e importancia del aparato de medios estatales (TV Pública) y de canales de comunicación oficial directa (p. ej. la Oficina de Respuesta Oficial en X), como medida de la presencia del Estado en el ecosistema mediático.</w:t>
      </w:r>
    </w:p>
    <w:p w14:paraId="2B0D3B3E" w14:textId="77777777" w:rsidR="00704B35" w:rsidRDefault="00F565CF">
      <w:pPr>
        <w:spacing w:before="120"/>
      </w:pPr>
      <w:r>
        <w:rPr>
          <w:b/>
          <w:color w:val="000000"/>
        </w:rPr>
        <w:t>4. Judicial — pendiente de repaso</w:t>
      </w:r>
    </w:p>
    <w:p w14:paraId="10B9C135" w14:textId="77777777" w:rsidR="00704B35" w:rsidRDefault="00F565CF">
      <w:r>
        <w:rPr>
          <w:sz w:val="21"/>
        </w:rPr>
        <w:t>Quedó en dos variables (Desempeño de la Corte, Cobertura) tras descartar Control de la corrupción. Propuesta a discutir (no decidida): enriquecer Cobertura con % de juzgados subrogados y Desempeño con actividad del Consejo de la Magistratura en cubrir vacantes.</w:t>
      </w:r>
    </w:p>
    <w:p w14:paraId="41AC7EB6" w14:textId="77777777" w:rsidR="00704B35" w:rsidRDefault="00F565CF">
      <w:pPr>
        <w:spacing w:before="120"/>
      </w:pPr>
      <w:r>
        <w:rPr>
          <w:b/>
          <w:color w:val="000000"/>
        </w:rPr>
        <w:t>5. Transversal: buscar fuentes MÁS FRECUENTES</w:t>
      </w:r>
    </w:p>
    <w:p w14:paraId="5407F14F" w14:textId="77777777" w:rsidR="00704B35" w:rsidRDefault="00F565CF">
      <w:r>
        <w:rPr>
          <w:sz w:val="21"/>
        </w:rPr>
        <w:t>Debilidad a atacar: varias variables dependen de dato anual o forward-fill con stale_flag (Desempeño de la Corte, Cobertura, Pauta, ATN), lo que debilita la señal mensual real del índice. Prioridad: conseguir fuentes de mayor cadencia (datos trimestrales de la Corte, ejecución presupuestaria mensual para ATN/pauta) y publicar un indicador de frescura (meses de antigüedad) por variable estructural en la salida.</w:t>
      </w:r>
    </w:p>
    <w:p w14:paraId="5DAB6C7B" w14:textId="77777777" w:rsidR="00704B35" w:rsidRDefault="00F565CF">
      <w:r>
        <w:br w:type="page"/>
      </w:r>
    </w:p>
    <w:p w14:paraId="05260A78" w14:textId="77777777" w:rsidR="00704B35" w:rsidRDefault="00F565CF">
      <w:pPr>
        <w:spacing w:before="240"/>
      </w:pPr>
      <w:r>
        <w:rPr>
          <w:b/>
          <w:color w:val="C8102E"/>
          <w:sz w:val="26"/>
        </w:rPr>
        <w:t>Hoja de ruta — Automatización 100% y agentes (junio 2026)</w:t>
      </w:r>
    </w:p>
    <w:p w14:paraId="0EB0C8D4" w14:textId="77777777" w:rsidR="00704B35" w:rsidRDefault="00F565CF">
      <w:r>
        <w:rPr>
          <w:sz w:val="21"/>
        </w:rPr>
        <w:t>La automatización del ITR es, en un 90%, un PIPELINE DETERMINISTA programado (los scrapers ya son código). Los agentes de IA cubren el 10% adaptativo: reparar scrapers, redactar el informe y control de calidad. No mezclar ambas cosas.</w:t>
      </w:r>
    </w:p>
    <w:p w14:paraId="700A783D" w14:textId="77777777" w:rsidR="00704B35" w:rsidRDefault="00F565CF">
      <w:pPr>
        <w:spacing w:before="120"/>
      </w:pPr>
      <w:r>
        <w:rPr>
          <w:b/>
          <w:color w:val="000000"/>
        </w:rPr>
        <w:t>Requisito crítico: IP argentina</w:t>
      </w:r>
    </w:p>
    <w:p w14:paraId="380A389C" w14:textId="77777777" w:rsidR="00704B35" w:rsidRDefault="00F565CF">
      <w:r>
        <w:rPr>
          <w:sz w:val="21"/>
        </w:rPr>
        <w:t>Las fuentes estatales (BCRA, DGSIAF, datos.jus) pueden bloquear IPs de datacenter/exterior. Los runners de GitHub Actions están en el exterior, así que GitHub Actions SIRVE como orquestador pero necesita una IP que las fuentes acepten. No es estrictamente un VPS dedicado:</w:t>
      </w:r>
    </w:p>
    <w:p w14:paraId="6B3287B6" w14:textId="77777777" w:rsidR="00704B35" w:rsidRDefault="00F565CF">
      <w:pPr>
        <w:ind w:left="280"/>
      </w:pPr>
      <w:r>
        <w:rPr>
          <w:b/>
          <w:sz w:val="21"/>
        </w:rPr>
        <w:t xml:space="preserve">• Self-hosted runner (recomendado): </w:t>
      </w:r>
      <w:r>
        <w:rPr>
          <w:sz w:val="21"/>
        </w:rPr>
        <w:t>registrar una PC de la Fundación (o un VPS argentino) como runner de GitHub. Se mantiene la orquestación de Actions pero con IP argentina. Sin costo si es una PC encendida.</w:t>
      </w:r>
    </w:p>
    <w:p w14:paraId="0277F166" w14:textId="77777777" w:rsidR="00704B35" w:rsidRDefault="00F565CF">
      <w:pPr>
        <w:ind w:left="280"/>
      </w:pPr>
      <w:r>
        <w:rPr>
          <w:b/>
          <w:sz w:val="21"/>
        </w:rPr>
        <w:t xml:space="preserve">• Proxy residencial argentino </w:t>
      </w:r>
      <w:r>
        <w:rPr>
          <w:sz w:val="21"/>
        </w:rPr>
        <w:t>configurado en el runner hosted de GitHub (HTTPS_PROXY). Más barato de infra pero frágil y con costo por GB.</w:t>
      </w:r>
    </w:p>
    <w:p w14:paraId="0EB41A77" w14:textId="77777777" w:rsidR="00704B35" w:rsidRDefault="00F565CF">
      <w:pPr>
        <w:ind w:left="280"/>
      </w:pPr>
      <w:r>
        <w:rPr>
          <w:b/>
          <w:sz w:val="21"/>
        </w:rPr>
        <w:t xml:space="preserve">• Probar primero el runner hosted: </w:t>
      </w:r>
      <w:r>
        <w:rPr>
          <w:sz w:val="21"/>
        </w:rPr>
        <w:t>parte de las fuentes podría no geo-bloquear; conviene testear antes de invertir en infra.</w:t>
      </w:r>
    </w:p>
    <w:p w14:paraId="5C55605C" w14:textId="77777777" w:rsidR="00704B35" w:rsidRDefault="00F565CF">
      <w:pPr>
        <w:spacing w:before="120"/>
      </w:pPr>
      <w:r>
        <w:rPr>
          <w:b/>
          <w:color w:val="000000"/>
        </w:rPr>
        <w:t>Pipeline determinista (capas)</w:t>
      </w:r>
    </w:p>
    <w:p w14:paraId="2D3691C0" w14:textId="77777777" w:rsidR="00704B35" w:rsidRDefault="00F565CF">
      <w:r>
        <w:rPr>
          <w:sz w:val="21"/>
        </w:rPr>
        <w:t>Scheduler mensual → ingesta (los 16 scrapers, idempotentes, con caché y reintentos) → ensamblado (icia_ensamblado.py) → QA/validación → reporte .docx → notificación (email/Slack). Repo git que versione código y CSV.</w:t>
      </w:r>
    </w:p>
    <w:p w14:paraId="47C4B22D" w14:textId="77777777" w:rsidR="00704B35" w:rsidRDefault="00F565CF">
      <w:pPr>
        <w:spacing w:before="120"/>
      </w:pPr>
      <w:r>
        <w:rPr>
          <w:b/>
          <w:color w:val="000000"/>
        </w:rPr>
        <w:t>Reorganización para uso eficiente por agentes</w:t>
      </w:r>
    </w:p>
    <w:p w14:paraId="5D8A11EF" w14:textId="77777777" w:rsidR="00704B35" w:rsidRDefault="00F565CF">
      <w:pPr>
        <w:ind w:left="280"/>
      </w:pPr>
      <w:r>
        <w:rPr>
          <w:b/>
          <w:sz w:val="21"/>
        </w:rPr>
        <w:t xml:space="preserve">• variables.yaml (clave): </w:t>
      </w:r>
      <w:r>
        <w:rPr>
          <w:sz w:val="21"/>
        </w:rPr>
        <w:t>externalizar la definición de cada variable (fuente, scraper, columna, anclas, peso, eje, frecuencia) a un YAML declarativo, como fuente única de verdad que lean tanto el código como el agente. Hoy está incrustado en el REG del ensamblador.</w:t>
      </w:r>
    </w:p>
    <w:p w14:paraId="07F2ED21" w14:textId="77777777" w:rsidR="00704B35" w:rsidRDefault="00F565CF">
      <w:pPr>
        <w:ind w:left="280"/>
      </w:pPr>
      <w:r>
        <w:rPr>
          <w:b/>
          <w:sz w:val="21"/>
        </w:rPr>
        <w:t xml:space="preserve">• Interfaz uniforme de scrapers: </w:t>
      </w:r>
      <w:r>
        <w:rPr>
          <w:sz w:val="21"/>
        </w:rPr>
        <w:t>todos con --desde/--hasta, output a /output con schema documentado, exit code 0/1.</w:t>
      </w:r>
    </w:p>
    <w:p w14:paraId="5EE0DBBE" w14:textId="77777777" w:rsidR="00704B35" w:rsidRDefault="00F565CF">
      <w:pPr>
        <w:ind w:left="280"/>
      </w:pPr>
      <w:r>
        <w:rPr>
          <w:b/>
          <w:sz w:val="21"/>
        </w:rPr>
        <w:t xml:space="preserve">• /contracts: </w:t>
      </w:r>
      <w:r>
        <w:rPr>
          <w:sz w:val="21"/>
        </w:rPr>
        <w:t>schema esperado de cada CSV (columnas, tipos, rangos) para validación automática.</w:t>
      </w:r>
    </w:p>
    <w:p w14:paraId="2B88BE1E" w14:textId="77777777" w:rsidR="00704B35" w:rsidRDefault="00F565CF">
      <w:pPr>
        <w:ind w:left="280"/>
      </w:pPr>
      <w:r>
        <w:rPr>
          <w:b/>
          <w:sz w:val="21"/>
        </w:rPr>
        <w:t xml:space="preserve">• AGENTS.md en la raíz: </w:t>
      </w:r>
      <w:r>
        <w:rPr>
          <w:sz w:val="21"/>
        </w:rPr>
        <w:t>arquitectura, convenciones y 'mañas' de cada fuente (IP AR, HCDN frágil, .xls del BCRA, etc.) + cómo correr y validar. Es lo que vuelve a un agente autónomo.</w:t>
      </w:r>
    </w:p>
    <w:p w14:paraId="154AF6E6" w14:textId="77777777" w:rsidR="00704B35" w:rsidRDefault="00F565CF">
      <w:pPr>
        <w:ind w:left="280"/>
      </w:pPr>
      <w:r>
        <w:rPr>
          <w:b/>
          <w:sz w:val="21"/>
        </w:rPr>
        <w:t xml:space="preserve">• Tests mínimos por scraper: </w:t>
      </w:r>
      <w:r>
        <w:rPr>
          <w:sz w:val="21"/>
        </w:rPr>
        <w:t>que fallen ruidosamente si la fuente cambió de estructura.</w:t>
      </w:r>
    </w:p>
    <w:p w14:paraId="3A427381" w14:textId="77777777" w:rsidR="00704B35" w:rsidRDefault="00F565CF">
      <w:pPr>
        <w:spacing w:before="120"/>
      </w:pPr>
      <w:r>
        <w:rPr>
          <w:b/>
          <w:color w:val="000000"/>
        </w:rPr>
        <w:t>Skills a crear</w:t>
      </w:r>
    </w:p>
    <w:p w14:paraId="3664E9CF" w14:textId="77777777" w:rsidR="00704B35" w:rsidRDefault="00F565CF">
      <w:pPr>
        <w:ind w:left="280"/>
      </w:pPr>
      <w:r>
        <w:rPr>
          <w:b/>
          <w:sz w:val="21"/>
        </w:rPr>
        <w:t xml:space="preserve">• itr-metodologia: </w:t>
      </w:r>
      <w:r>
        <w:rPr>
          <w:sz w:val="21"/>
        </w:rPr>
        <w:t>anclas, pesos, escala anclada al ideal, cómo agregar una variable, convenciones.</w:t>
      </w:r>
    </w:p>
    <w:p w14:paraId="3B44D290" w14:textId="77777777" w:rsidR="00704B35" w:rsidRDefault="00F565CF">
      <w:pPr>
        <w:ind w:left="280"/>
      </w:pPr>
      <w:r>
        <w:rPr>
          <w:b/>
          <w:sz w:val="21"/>
        </w:rPr>
        <w:t xml:space="preserve">• itr-fuentes: </w:t>
      </w:r>
      <w:r>
        <w:rPr>
          <w:sz w:val="21"/>
        </w:rPr>
        <w:t>catálogo de fuentes con sus particularidades (URLs, estructura, IP AR, frecuencia).</w:t>
      </w:r>
    </w:p>
    <w:p w14:paraId="3F0CF875" w14:textId="77777777" w:rsidR="00704B35" w:rsidRDefault="00F565CF">
      <w:pPr>
        <w:ind w:left="280"/>
      </w:pPr>
      <w:r>
        <w:rPr>
          <w:b/>
          <w:sz w:val="21"/>
        </w:rPr>
        <w:t xml:space="preserve">• lyp-pp (ya existe): </w:t>
      </w:r>
      <w:r>
        <w:rPr>
          <w:sz w:val="21"/>
        </w:rPr>
        <w:t>voz institucional para el informe.</w:t>
      </w:r>
    </w:p>
    <w:p w14:paraId="66E3307A" w14:textId="77777777" w:rsidR="00704B35" w:rsidRDefault="00F565CF">
      <w:pPr>
        <w:spacing w:before="120"/>
      </w:pPr>
      <w:r>
        <w:rPr>
          <w:b/>
          <w:color w:val="000000"/>
        </w:rPr>
        <w:t>Agentes (un mantenedor, no un enjambre)</w:t>
      </w:r>
    </w:p>
    <w:p w14:paraId="679F1471" w14:textId="77777777" w:rsidR="00704B35" w:rsidRDefault="00F565CF">
      <w:pPr>
        <w:ind w:left="280"/>
      </w:pPr>
      <w:r>
        <w:rPr>
          <w:b/>
          <w:sz w:val="21"/>
        </w:rPr>
        <w:t xml:space="preserve">• Reparador (self-healing): </w:t>
      </w:r>
      <w:r>
        <w:rPr>
          <w:sz w:val="21"/>
        </w:rPr>
        <w:t>ante un cambio de estructura de la fuente, lee el error y propone el fix para visto bueno humano.</w:t>
      </w:r>
    </w:p>
    <w:p w14:paraId="0685236B" w14:textId="77777777" w:rsidR="00704B35" w:rsidRDefault="00F565CF">
      <w:pPr>
        <w:ind w:left="280"/>
      </w:pPr>
      <w:r>
        <w:rPr>
          <w:b/>
          <w:sz w:val="21"/>
        </w:rPr>
        <w:t xml:space="preserve">• Redactor del informe: </w:t>
      </w:r>
      <w:r>
        <w:rPr>
          <w:sz w:val="21"/>
        </w:rPr>
        <w:t>toma itr_mensual.csv y escribe el informe de coyuntura en voz LyP.</w:t>
      </w:r>
    </w:p>
    <w:p w14:paraId="6989128E" w14:textId="77777777" w:rsidR="00704B35" w:rsidRDefault="00F565CF">
      <w:pPr>
        <w:ind w:left="280"/>
      </w:pPr>
      <w:r>
        <w:rPr>
          <w:b/>
          <w:sz w:val="21"/>
        </w:rPr>
        <w:t xml:space="preserve">• Auditor/QA: </w:t>
      </w:r>
      <w:r>
        <w:rPr>
          <w:sz w:val="21"/>
        </w:rPr>
        <w:t>detecta anomalías (saltos, NaN, datos stale, filtros que dejaron de matchear).</w:t>
      </w:r>
    </w:p>
    <w:p w14:paraId="5E6AA5D9" w14:textId="77777777" w:rsidR="00704B35" w:rsidRDefault="00F565CF">
      <w:pPr>
        <w:ind w:left="280"/>
      </w:pPr>
      <w:r>
        <w:rPr>
          <w:b/>
          <w:sz w:val="21"/>
        </w:rPr>
        <w:t xml:space="preserve">• Incorporador de variables: </w:t>
      </w:r>
      <w:r>
        <w:rPr>
          <w:sz w:val="21"/>
        </w:rPr>
        <w:t>investiga la fuente y propone scraper + anclas de una variable nueva.</w:t>
      </w:r>
    </w:p>
    <w:p w14:paraId="68E208C0" w14:textId="77777777" w:rsidR="00704B35" w:rsidRDefault="00F565CF">
      <w:r>
        <w:rPr>
          <w:sz w:val="21"/>
        </w:rPr>
        <w:t>Human-in-the-loop no negociable para: anclas, tabla de designación del BCRA y toda decisión de diseño/ponderación.</w:t>
      </w:r>
    </w:p>
    <w:p w14:paraId="3AFC0D94" w14:textId="77777777" w:rsidR="00704B35" w:rsidRDefault="00F565CF">
      <w:pPr>
        <w:spacing w:before="120"/>
      </w:pPr>
      <w:r>
        <w:rPr>
          <w:b/>
          <w:color w:val="000000"/>
        </w:rPr>
        <w:t>Secuencia recomendada</w:t>
      </w:r>
    </w:p>
    <w:p w14:paraId="5A551623" w14:textId="77777777" w:rsidR="00704B35" w:rsidRDefault="00F565CF">
      <w:r>
        <w:rPr>
          <w:sz w:val="21"/>
        </w:rPr>
        <w:t>1) Resolver la IP argentina. 2) Pipeline determinista programado (el 90% del valor, sin IA). 3) variables.yaml + capa QA + agente redactor. 4) Agente self-healing. Empezar por los agentes antes que el pipeline es el error más común.</w:t>
      </w:r>
    </w:p>
    <w:p w14:paraId="2240DEE9" w14:textId="77777777" w:rsidR="00704B35" w:rsidRDefault="00F565CF">
      <w:pPr>
        <w:spacing w:before="240"/>
      </w:pPr>
      <w:r>
        <w:rPr>
          <w:b/>
          <w:color w:val="C8102E"/>
          <w:sz w:val="26"/>
        </w:rPr>
        <w:t>Corrida histórica para el lanzamiento (darle 'historia' al índice)</w:t>
      </w:r>
    </w:p>
    <w:p w14:paraId="74BE3B9B" w14:textId="77777777" w:rsidR="00704B35" w:rsidRDefault="00F565CF">
      <w:r>
        <w:rPr>
          <w:sz w:val="21"/>
        </w:rPr>
        <w:t>Idea: correr el ITR hacia atrás (hasta 2003/2005) para comparar gobiernos y dar una primera impresión con perspectiva.</w:t>
      </w:r>
    </w:p>
    <w:p w14:paraId="760DCAC0" w14:textId="77777777" w:rsidR="00704B35" w:rsidRDefault="00F565CF">
      <w:pPr>
        <w:ind w:left="280"/>
      </w:pPr>
      <w:r>
        <w:rPr>
          <w:b/>
          <w:sz w:val="21"/>
        </w:rPr>
        <w:t xml:space="preserve">• Habilitador: </w:t>
      </w:r>
      <w:r>
        <w:rPr>
          <w:sz w:val="21"/>
        </w:rPr>
        <w:t>la escala anclada al IDEAL es absoluta y no se reescribe, así que SÍ es metodológicamente válido comparar entre gobiernos sobre la misma vara — es un argumento de venta fuerte.</w:t>
      </w:r>
    </w:p>
    <w:p w14:paraId="3AC249C0" w14:textId="77777777" w:rsidR="00704B35" w:rsidRDefault="00F565CF">
      <w:pPr>
        <w:ind w:left="280"/>
      </w:pPr>
      <w:r>
        <w:rPr>
          <w:b/>
          <w:sz w:val="21"/>
        </w:rPr>
        <w:t xml:space="preserve">• Límite: </w:t>
      </w:r>
      <w:r>
        <w:rPr>
          <w:sz w:val="21"/>
        </w:rPr>
        <w:t>varias variables no tienen serie larga: Transparencia (AAIP) recién desde 2017 (Ley 27.275), Causas contra periodistas (FOPEA) desde la década de 2010, Medios/algunas otras. Correr las 16 hacia atrás dejaría huecos y el índice mediría 'cosas distintas' en 2005 vs 2024 (problema de comparabilidad).</w:t>
      </w:r>
    </w:p>
    <w:p w14:paraId="2DE6C6C7" w14:textId="77777777" w:rsidR="00704B35" w:rsidRDefault="00F565CF">
      <w:pPr>
        <w:ind w:left="280"/>
      </w:pPr>
      <w:r>
        <w:rPr>
          <w:b/>
          <w:sz w:val="21"/>
        </w:rPr>
        <w:t xml:space="preserve">• Recomendación: </w:t>
      </w:r>
      <w:r>
        <w:rPr>
          <w:sz w:val="21"/>
        </w:rPr>
        <w:t>publicar un 'ITR histórico — núcleo' con SOLO las variables de serie larga y consistente (DNU vs leyes, discrecionalidad presupuestaria, costo del Legislativo, pauta oficial, financiamiento del BCRA, letras intransferibles, cobertura judicial, designación del BCRA), claramente etiquetado como subconjunto y separado del ITR completo (16 variables, desde 2023). NO correr las 16 con huecos.</w:t>
      </w:r>
    </w:p>
    <w:p w14:paraId="7C4D8632" w14:textId="77777777" w:rsidR="00704B35" w:rsidRDefault="00F565CF">
      <w:pPr>
        <w:ind w:left="280"/>
      </w:pPr>
      <w:r>
        <w:rPr>
          <w:b/>
          <w:sz w:val="21"/>
        </w:rPr>
        <w:t xml:space="preserve">• Tarea previa: </w:t>
      </w:r>
      <w:r>
        <w:rPr>
          <w:sz w:val="21"/>
        </w:rPr>
        <w:t>relevar hasta dónde llega cada fuente (InfoLEG y BCRA llegan lejos; DGSIAF y datos.jus, a confirmar) y fijar el piso real (2003 vs 2005).</w:t>
      </w:r>
    </w:p>
    <w:p w14:paraId="02EB378F" w14:textId="77777777" w:rsidR="00704B35" w:rsidRDefault="00F565CF">
      <w:r>
        <w:br w:type="page"/>
      </w:r>
    </w:p>
    <w:p w14:paraId="114722BA" w14:textId="77777777" w:rsidR="00704B35" w:rsidRDefault="00F565CF">
      <w:pPr>
        <w:spacing w:before="240"/>
      </w:pPr>
      <w:r>
        <w:rPr>
          <w:b/>
          <w:color w:val="C8102E"/>
          <w:sz w:val="26"/>
        </w:rPr>
        <w:t>Estándares y mejoras de datos (junio 2026)</w:t>
      </w:r>
    </w:p>
    <w:p w14:paraId="751BD471" w14:textId="77777777" w:rsidR="00704B35" w:rsidRDefault="00F565CF">
      <w:pPr>
        <w:spacing w:before="120"/>
      </w:pPr>
      <w:r>
        <w:rPr>
          <w:b/>
          <w:color w:val="000000"/>
        </w:rPr>
        <w:t>Gráfico desagregado de 5 ejes — estándar de todos los informes</w:t>
      </w:r>
    </w:p>
    <w:p w14:paraId="37BA1DD0" w14:textId="77777777" w:rsidR="00704B35" w:rsidRDefault="00F565CF">
      <w:r>
        <w:rPr>
          <w:sz w:val="21"/>
        </w:rPr>
        <w:t>Se adopta como componente estándar de TODOS los informes (mensual e histórico) el gráfico de líneas con los 5 sub-índices + la línea del ITR. Se genera con 00_Comun/graficar_itr.py, que toma cualquier salida del ensamblador (itr_mensual.csv o itr_nucleo_anual.csv). El número agregado solo no alcanza: la historia republicana se ve en el equilibrio entre los ejes.</w:t>
      </w:r>
    </w:p>
    <w:p w14:paraId="3068D801" w14:textId="77777777" w:rsidR="00704B35" w:rsidRDefault="00F565CF">
      <w:pPr>
        <w:spacing w:before="120"/>
      </w:pPr>
      <w:r>
        <w:rPr>
          <w:b/>
          <w:color w:val="000000"/>
        </w:rPr>
        <w:t>Mejorar el dato de ATN para extender la serie hacia atrás</w:t>
      </w:r>
    </w:p>
    <w:p w14:paraId="6EE4C4D6" w14:textId="77777777" w:rsidR="00704B35" w:rsidRDefault="00F565CF">
      <w:r>
        <w:rPr>
          <w:sz w:val="21"/>
        </w:rPr>
        <w:t>Problema: en los archivos viejos de DGSIAF (pre-2017) el ATN no figura con la etiqueta de actividad 'Aportes del Tesoro Nacional (ATN)' que usa el scraper, por lo que da 0 (artefacto) e infla el Ejecutivo. El ATN existió siempre; cambió la forma de etiquetarlo (probablemente bajo el programa/jurisdicción 'Obligaciones a cargo del Tesoro' o 'Asistencia financiera a provincias').</w:t>
      </w:r>
    </w:p>
    <w:p w14:paraId="6B9DE3DA" w14:textId="77777777" w:rsidR="00704B35" w:rsidRDefault="00F565CF">
      <w:pPr>
        <w:ind w:left="280"/>
      </w:pPr>
      <w:r>
        <w:rPr>
          <w:b/>
          <w:sz w:val="21"/>
        </w:rPr>
        <w:t xml:space="preserve">• Paso 1 — diagnóstico (ya disponible): </w:t>
      </w:r>
      <w:r>
        <w:rPr>
          <w:sz w:val="21"/>
        </w:rPr>
        <w:t>scraper_16_atn.py --diagnostico 2010 vuelca todas las descripciones que mencionan tesoro/aporte/provincia con su devengado, para ver dónde está el ATN en los archivos viejos.</w:t>
      </w:r>
    </w:p>
    <w:p w14:paraId="11A586B4" w14:textId="77777777" w:rsidR="00704B35" w:rsidRDefault="00F565CF">
      <w:pPr>
        <w:ind w:left="280"/>
      </w:pPr>
      <w:r>
        <w:rPr>
          <w:b/>
          <w:sz w:val="21"/>
        </w:rPr>
        <w:t xml:space="preserve">• Paso 2 — ampliar el filtro: </w:t>
      </w:r>
      <w:r>
        <w:rPr>
          <w:sz w:val="21"/>
        </w:rPr>
        <w:t>con esa info, extender el patrón del scraper para capturar la etiqueta vieja (p. ej. por programa o jurisdicción, no solo por actividad).</w:t>
      </w:r>
    </w:p>
    <w:p w14:paraId="52B6BE14" w14:textId="77777777" w:rsidR="00704B35" w:rsidRDefault="00F565CF">
      <w:pPr>
        <w:ind w:left="280"/>
      </w:pPr>
      <w:r>
        <w:rPr>
          <w:b/>
          <w:sz w:val="21"/>
        </w:rPr>
        <w:t xml:space="preserve">• Alternativa más robusta: </w:t>
      </w:r>
      <w:r>
        <w:rPr>
          <w:sz w:val="21"/>
        </w:rPr>
        <w:t>usar el dataset 'Transferencias a provincias' del Mecon/OPC, que distingue ATN (discrecional) de coparticipación (automática) con serie larga; o, en última instancia, las resoluciones de ATN del Ministerio del Interior en el Boletín Oficial.</w:t>
      </w:r>
    </w:p>
    <w:p w14:paraId="5E24A816" w14:textId="77777777" w:rsidR="00704B35" w:rsidRDefault="00F565CF">
      <w:r>
        <w:rPr>
          <w:sz w:val="21"/>
        </w:rPr>
        <w:t>Con el ATN viejo corregido (y la designación del BCRA confirmada), el núcleo histórico balanceado podría extenderse a gobiernos anteriores sin el artefacto que hoy invierte la historia.</w:t>
      </w:r>
    </w:p>
    <w:p w14:paraId="2D5FEE41" w14:textId="77777777" w:rsidR="00704B35" w:rsidRDefault="00F565CF">
      <w:r>
        <w:rPr>
          <w:b/>
          <w:color w:val="000000"/>
          <w:sz w:val="21"/>
        </w:rPr>
        <w:t xml:space="preserve">Resultado del diagnóstico ATN (jun-2026): </w:t>
      </w:r>
      <w:r>
        <w:rPr>
          <w:sz w:val="21"/>
        </w:rPr>
        <w:t>la corrida de diagnóstico sobre 2010 confirmó que en los archivos viejos de DGSIAF NO existe una línea 'Aportes del Tesoro Nacional': solo hay programas genéricos de 'Asistencia Financiera a Provincias' bajo 'Obligaciones a Cargo del Tesoro', conceptualmente más amplios y de montos ambiguos. Conclusión: ampliar el filtro DGSIAF NO es fiable. Para extender el ATN hacia atrás hay que usar el dataset 'Transferencias a provincias' del Mecon/OPC (que separa ATN discrecional de coparticipación automática). Para el núcleo 2020-2026 no afecta: el ATN ya es real desde 2017.</w:t>
      </w:r>
    </w:p>
    <w:p w14:paraId="35D8498A" w14:textId="77777777" w:rsidR="00704B35" w:rsidRDefault="00F565CF">
      <w:r>
        <w:rPr>
          <w:b/>
          <w:color w:val="000000"/>
          <w:sz w:val="21"/>
        </w:rPr>
        <w:t xml:space="preserve">Por qué el ATN solo no alcanza para llegar a Macri (jun-2026): </w:t>
      </w:r>
      <w:r>
        <w:rPr>
          <w:sz w:val="21"/>
        </w:rPr>
        <w:t>el cuello de botella para extender el núcleo a Macri NO es el ATN sino el eje Judicial. La Cobertura judicial (titularidad/subrogancia) tiene primer dato en diciembre 2017 y el Desempeño de la Corte (CSJN) en enero 2024; 2016 no tiene ningún dato judicial. Por lo tanto, aunque se corrija el ATN histórico (vía dataset de Transferencias a Provincias), Macri arrancaría como un núcleo de 4 ejes sin Judicial, y los 5 ejes recién coexisten a fines de 2017 (mitad de Macri). Llegar a Macri requiere resolver ATN histórico Y Judicial histórico a la vez; este último es casi inviable (la cobertura no existe pre-2017 en la fuente). Decisión: mantener el núcleo balanceado desde 2020 (Fernández) y dejar ambos como pendientes documentados.</w:t>
      </w:r>
    </w:p>
    <w:sectPr w:rsidR="00704B35">
      <w:headerReference w:type="default" r:id="rId7"/>
      <w:footerReference w:type="default" r:id="rId8"/>
      <w:pgSz w:w="12240" w:h="15840"/>
      <w:pgMar w:top="1440" w:right="1440" w:bottom="1440" w:left="2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3B35D" w14:textId="77777777" w:rsidR="0067677B" w:rsidRDefault="0067677B">
      <w:pPr>
        <w:spacing w:after="0" w:line="240" w:lineRule="auto"/>
      </w:pPr>
      <w:r>
        <w:separator/>
      </w:r>
    </w:p>
  </w:endnote>
  <w:endnote w:type="continuationSeparator" w:id="0">
    <w:p w14:paraId="165006CB" w14:textId="77777777" w:rsidR="0067677B" w:rsidRDefault="00676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Montserrat">
    <w:altName w:val="Calibri"/>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9CB4" w14:textId="733605CD" w:rsidR="00EB67EE" w:rsidRPr="00FF3475" w:rsidRDefault="009D36B3">
    <w:pPr>
      <w:pBdr>
        <w:top w:val="nil"/>
        <w:left w:val="nil"/>
        <w:bottom w:val="nil"/>
        <w:right w:val="nil"/>
        <w:between w:val="nil"/>
      </w:pBdr>
      <w:tabs>
        <w:tab w:val="center" w:pos="4252"/>
        <w:tab w:val="right" w:pos="8504"/>
      </w:tabs>
      <w:spacing w:after="0" w:line="240" w:lineRule="auto"/>
      <w:rPr>
        <w:rFonts w:ascii="Open Sans" w:hAnsi="Open Sans" w:cs="Open Sans"/>
        <w:b/>
        <w:color w:val="C00000"/>
      </w:rPr>
    </w:pPr>
    <w:r>
      <w:rPr>
        <w:color w:val="000000"/>
      </w:rPr>
      <w:t xml:space="preserve"> </w:t>
    </w:r>
    <w:r>
      <w:rPr>
        <w:b/>
        <w:color w:val="C00000"/>
      </w:rPr>
      <w:tab/>
    </w:r>
    <w:r>
      <w:rPr>
        <w:b/>
        <w:color w:val="C00000"/>
      </w:rPr>
      <w:tab/>
    </w:r>
    <w:r>
      <w:rPr>
        <w:b/>
        <w:color w:val="C00000"/>
      </w:rPr>
      <w:tab/>
    </w:r>
    <w:r w:rsidRPr="00FF3475">
      <w:rPr>
        <w:rFonts w:ascii="Open Sans" w:eastAsia="Montserrat" w:hAnsi="Open Sans" w:cs="Open Sans"/>
        <w:b/>
        <w:color w:val="C00000"/>
      </w:rPr>
      <w:fldChar w:fldCharType="begin"/>
    </w:r>
    <w:r w:rsidRPr="00FF3475">
      <w:rPr>
        <w:rFonts w:ascii="Open Sans" w:eastAsia="Montserrat" w:hAnsi="Open Sans" w:cs="Open Sans"/>
        <w:b/>
        <w:color w:val="C00000"/>
      </w:rPr>
      <w:instrText>PAGE</w:instrText>
    </w:r>
    <w:r w:rsidRPr="00FF3475">
      <w:rPr>
        <w:rFonts w:ascii="Open Sans" w:eastAsia="Montserrat" w:hAnsi="Open Sans" w:cs="Open Sans"/>
        <w:b/>
        <w:color w:val="C00000"/>
      </w:rPr>
      <w:fldChar w:fldCharType="separate"/>
    </w:r>
    <w:r w:rsidR="00396BD4">
      <w:rPr>
        <w:rFonts w:ascii="Open Sans" w:eastAsia="Montserrat" w:hAnsi="Open Sans" w:cs="Open Sans"/>
        <w:b/>
        <w:noProof/>
        <w:color w:val="C00000"/>
      </w:rPr>
      <w:t>7</w:t>
    </w:r>
    <w:r w:rsidRPr="00FF3475">
      <w:rPr>
        <w:rFonts w:ascii="Open Sans" w:eastAsia="Montserrat" w:hAnsi="Open Sans" w:cs="Open Sans"/>
        <w:b/>
        <w:color w:val="C00000"/>
      </w:rPr>
      <w:fldChar w:fldCharType="end"/>
    </w:r>
    <w:r w:rsidRPr="00FF3475">
      <w:rPr>
        <w:rFonts w:ascii="Open Sans" w:hAnsi="Open Sans" w:cs="Open Sans"/>
        <w:noProof/>
        <w:lang w:val="es-419" w:eastAsia="es-419"/>
      </w:rPr>
      <mc:AlternateContent>
        <mc:Choice Requires="wps">
          <w:drawing>
            <wp:anchor distT="0" distB="0" distL="0" distR="0" simplePos="0" relativeHeight="251661312" behindDoc="1" locked="0" layoutInCell="1" hidden="0" allowOverlap="1" wp14:anchorId="0BB5FBC9" wp14:editId="5F88F8F4">
              <wp:simplePos x="0" y="0"/>
              <wp:positionH relativeFrom="column">
                <wp:posOffset>-1876424</wp:posOffset>
              </wp:positionH>
              <wp:positionV relativeFrom="paragraph">
                <wp:posOffset>160020</wp:posOffset>
              </wp:positionV>
              <wp:extent cx="6600825" cy="704850"/>
              <wp:effectExtent l="0" t="0" r="9525" b="0"/>
              <wp:wrapNone/>
              <wp:docPr id="2" name="Rectángulo 2">
                <a:extLst xmlns:a="http://schemas.openxmlformats.org/drawingml/2006/main">
                  <a:ext uri="{FF2B5EF4-FFF2-40B4-BE49-F238E27FC236}">
                    <a16:creationId xmlns:a16="http://schemas.microsoft.com/office/drawing/2014/main" id="{E8596E65-1FB0-4307-83AB-B5AECE8D1FE5}"/>
                  </a:ext>
                </a:extLst>
              </wp:docPr>
              <wp:cNvGraphicFramePr/>
              <a:graphic xmlns:a="http://schemas.openxmlformats.org/drawingml/2006/main">
                <a:graphicData uri="http://schemas.microsoft.com/office/word/2010/wordprocessingShape">
                  <wps:wsp>
                    <wps:cNvSpPr/>
                    <wps:spPr>
                      <a:xfrm>
                        <a:off x="0" y="0"/>
                        <a:ext cx="6600825" cy="704850"/>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0AB5C2" id="Rectángulo 2" o:spid="_x0000_s1026" style="position:absolute;margin-left:-147.75pt;margin-top:12.6pt;width:519.75pt;height:55.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" fillcolor="#db0032" stroked="f" strokeweight="2pt"/>
          </w:pict>
        </mc:Fallback>
      </mc:AlternateContent>
    </w:r>
    <w:r w:rsidRPr="00FF3475">
      <w:rPr>
        <w:rFonts w:ascii="Open Sans" w:hAnsi="Open Sans" w:cs="Open Sans"/>
        <w:noProof/>
        <w:lang w:val="es-419" w:eastAsia="es-419"/>
      </w:rPr>
      <w:drawing>
        <wp:anchor distT="0" distB="0" distL="0" distR="0" simplePos="0" relativeHeight="251662336" behindDoc="1" locked="0" layoutInCell="1" hidden="0" allowOverlap="1" wp14:anchorId="24C3858E" wp14:editId="7BE7550D">
          <wp:simplePos x="0" y="0"/>
          <wp:positionH relativeFrom="column">
            <wp:posOffset>57150</wp:posOffset>
          </wp:positionH>
          <wp:positionV relativeFrom="paragraph">
            <wp:posOffset>360045</wp:posOffset>
          </wp:positionV>
          <wp:extent cx="4381500" cy="259644"/>
          <wp:effectExtent l="0" t="0" r="0" b="0"/>
          <wp:wrapNone/>
          <wp:docPr id="9" name="image9.png">
            <a:extLst xmlns:a="http://schemas.openxmlformats.org/drawingml/2006/main">
              <a:ext uri="{FF2B5EF4-FFF2-40B4-BE49-F238E27FC236}">
                <a16:creationId xmlns:a16="http://schemas.microsoft.com/office/drawing/2014/main" id="{0FCAD190-F1CB-4F6D-9E61-8DF43312CC82}"/>
              </a:ext>
            </a:extLst>
          </wp:docPr>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4381500" cy="259644"/>
                  </a:xfrm>
                  <a:prstGeom prst="rect">
                    <a:avLst/>
                  </a:prstGeom>
                  <a:ln/>
                </pic:spPr>
              </pic:pic>
            </a:graphicData>
          </a:graphic>
        </wp:anchor>
      </w:drawing>
    </w:r>
    <w:r w:rsidRPr="00FF3475">
      <w:rPr>
        <w:rFonts w:ascii="Open Sans" w:hAnsi="Open Sans" w:cs="Open Sans"/>
        <w:noProof/>
        <w:lang w:val="es-419" w:eastAsia="es-419"/>
      </w:rPr>
      <w:drawing>
        <wp:anchor distT="0" distB="0" distL="0" distR="0" simplePos="0" relativeHeight="251663360" behindDoc="1" locked="0" layoutInCell="1" hidden="0" allowOverlap="1" wp14:anchorId="74B6C3F6" wp14:editId="2288B878">
          <wp:simplePos x="0" y="0"/>
          <wp:positionH relativeFrom="column">
            <wp:posOffset>-3009899</wp:posOffset>
          </wp:positionH>
          <wp:positionV relativeFrom="paragraph">
            <wp:posOffset>-953769</wp:posOffset>
          </wp:positionV>
          <wp:extent cx="3238500" cy="2857077"/>
          <wp:effectExtent l="0" t="0" r="0" b="0"/>
          <wp:wrapNone/>
          <wp:docPr id="4" name="image1.png">
            <a:extLst xmlns:a="http://schemas.openxmlformats.org/drawingml/2006/main">
              <a:ext uri="{FF2B5EF4-FFF2-40B4-BE49-F238E27FC236}">
                <a16:creationId xmlns:a16="http://schemas.microsoft.com/office/drawing/2014/main" id="{C5C0BE6F-ABAC-484A-BE43-6FF53D8C5D7B}"/>
              </a:ext>
            </a:extLst>
          </wp:docPr>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3238500" cy="285707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072A1" w14:textId="77777777" w:rsidR="0067677B" w:rsidRDefault="0067677B">
      <w:pPr>
        <w:spacing w:after="0" w:line="240" w:lineRule="auto"/>
      </w:pPr>
      <w:r>
        <w:separator/>
      </w:r>
    </w:p>
  </w:footnote>
  <w:footnote w:type="continuationSeparator" w:id="0">
    <w:p w14:paraId="76DB398B" w14:textId="77777777" w:rsidR="0067677B" w:rsidRDefault="006767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80E3" w14:textId="0C90D586" w:rsidR="00EB67EE" w:rsidRPr="00203170" w:rsidRDefault="00203170" w:rsidP="00203170">
    <w:pPr>
      <w:pBdr>
        <w:bottom w:val="single" w:sz="8" w:space="1" w:color="7F7F7F" w:themeColor="text1" w:themeTint="80"/>
      </w:pBdr>
      <w:jc w:val="both"/>
      <w:rPr>
        <w:rFonts w:ascii="Open Sans" w:eastAsia="Open Sans" w:hAnsi="Open Sans" w:cs="Open Sans"/>
        <w:b/>
        <w:color w:val="808080" w:themeColor="background1" w:themeShade="80"/>
        <w:sz w:val="20"/>
        <w:szCs w:val="20"/>
      </w:rPr>
    </w:pPr>
    <w:r w:rsidRPr="001F08F5">
      <w:rPr>
        <w:rFonts w:ascii="Open Sans" w:eastAsia="Open Sans" w:hAnsi="Open Sans" w:cs="Open Sans"/>
        <w:b/>
        <w:color w:val="808080" w:themeColor="background1" w:themeShade="80"/>
        <w:sz w:val="20"/>
        <w:szCs w:val="20"/>
      </w:rPr>
      <w:t>INFORME DE POLÍTICAS PÚBLICAS</w:t>
    </w:r>
    <w:r w:rsidRPr="001F08F5">
      <w:rPr>
        <w:noProof/>
        <w:sz w:val="20"/>
        <w:szCs w:val="20"/>
        <w:lang w:val="es-419" w:eastAsia="es-419"/>
      </w:rPr>
      <mc:AlternateContent>
        <mc:Choice Requires="wps">
          <w:drawing>
            <wp:anchor distT="0" distB="0" distL="114300" distR="114300" simplePos="0" relativeHeight="251665408" behindDoc="0" locked="0" layoutInCell="1" hidden="0" allowOverlap="1" wp14:anchorId="274EEB37" wp14:editId="19A256E7">
              <wp:simplePos x="0" y="0"/>
              <wp:positionH relativeFrom="column">
                <wp:posOffset>-1390649</wp:posOffset>
              </wp:positionH>
              <wp:positionV relativeFrom="paragraph">
                <wp:posOffset>-457199</wp:posOffset>
              </wp:positionV>
              <wp:extent cx="826135" cy="915035"/>
              <wp:effectExtent l="0" t="0" r="0" b="0"/>
              <wp:wrapNone/>
              <wp:docPr id="13" name="Rectángulo 13">
                <a:extLst xmlns:a="http://schemas.openxmlformats.org/drawingml/2006/main">
                  <a:ext uri="{FF2B5EF4-FFF2-40B4-BE49-F238E27FC236}">
                    <a16:creationId xmlns:a16="http://schemas.microsoft.com/office/drawing/2014/main" id="{BEBCEFC9-46F4-4444-9F85-BF77F55A109C}"/>
                  </a:ext>
                </a:extLst>
              </wp:docPr>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593E8F" id="Rectángulo 13" o:spid="_x0000_s1026" style="position:absolute;margin-left:-109.5pt;margin-top:-36pt;width:65.05pt;height:72.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" fillcolor="#db0032" stroked="f" strokeweight="2pt"/>
          </w:pict>
        </mc:Fallback>
      </mc:AlternateContent>
    </w:r>
    <w:r w:rsidRPr="001F08F5">
      <w:rPr>
        <w:noProof/>
        <w:sz w:val="20"/>
        <w:szCs w:val="20"/>
        <w:lang w:val="es-419" w:eastAsia="es-419"/>
      </w:rPr>
      <w:drawing>
        <wp:anchor distT="0" distB="0" distL="114300" distR="114300" simplePos="0" relativeHeight="251666432" behindDoc="0" locked="0" layoutInCell="1" hidden="0" allowOverlap="1" wp14:anchorId="03EC9F0F" wp14:editId="279EAC56">
          <wp:simplePos x="0" y="0"/>
          <wp:positionH relativeFrom="column">
            <wp:posOffset>-1390650</wp:posOffset>
          </wp:positionH>
          <wp:positionV relativeFrom="paragraph">
            <wp:posOffset>-304799</wp:posOffset>
          </wp:positionV>
          <wp:extent cx="827593" cy="729712"/>
          <wp:effectExtent l="0" t="0" r="0" b="0"/>
          <wp:wrapNone/>
          <wp:docPr id="14" name="image4.png">
            <a:extLst xmlns:a="http://schemas.openxmlformats.org/drawingml/2006/main">
              <a:ext uri="{FF2B5EF4-FFF2-40B4-BE49-F238E27FC236}">
                <a16:creationId xmlns:a16="http://schemas.microsoft.com/office/drawing/2014/main" id="{6D0C3F49-C9D0-4B70-8939-7911E6F50A3E}"/>
              </a:ext>
            </a:extLst>
          </wp:docPr>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Pr="001F08F5">
      <w:rPr>
        <w:noProof/>
        <w:sz w:val="20"/>
        <w:szCs w:val="20"/>
        <w:lang w:val="es-419" w:eastAsia="es-419"/>
      </w:rPr>
      <w:drawing>
        <wp:anchor distT="0" distB="0" distL="114300" distR="114300" simplePos="0" relativeHeight="251667456" behindDoc="0" locked="0" layoutInCell="1" hidden="0" allowOverlap="1" wp14:anchorId="0D462754" wp14:editId="575F6AF3">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15" name="image6.png" descr="Colaborá con Libertad y Progreso - Fundación Libertad Y Progreso">
            <a:extLst xmlns:a="http://schemas.openxmlformats.org/drawingml/2006/main">
              <a:ext uri="{FF2B5EF4-FFF2-40B4-BE49-F238E27FC236}">
                <a16:creationId xmlns:a16="http://schemas.microsoft.com/office/drawing/2014/main" id="{F39429C6-1345-499F-8987-88636EAADE08}"/>
              </a:ext>
            </a:extLst>
          </wp:docPr>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Pr="001F08F5">
      <w:rPr>
        <w:rFonts w:ascii="Open Sans" w:eastAsia="Open Sans" w:hAnsi="Open Sans" w:cs="Open Sans"/>
        <w:b/>
        <w:color w:val="808080" w:themeColor="background1" w:themeShade="80"/>
        <w:sz w:val="20"/>
        <w:szCs w:val="20"/>
      </w:rPr>
      <w:tab/>
    </w:r>
    <w:r w:rsidRPr="001F08F5">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t xml:space="preserve">         </w:t>
    </w:r>
    <w:r w:rsidR="0035502A">
      <w:rPr>
        <w:rFonts w:ascii="Open Sans" w:eastAsia="Open Sans" w:hAnsi="Open Sans" w:cs="Open Sans"/>
        <w:b/>
        <w:color w:val="808080" w:themeColor="background1" w:themeShade="80"/>
        <w:sz w:val="20"/>
        <w:szCs w:val="20"/>
      </w:rPr>
      <w:t>X</w:t>
    </w:r>
    <w:r w:rsidRPr="001F08F5">
      <w:rPr>
        <w:rFonts w:ascii="Open Sans" w:eastAsia="Open Sans" w:hAnsi="Open Sans" w:cs="Open Sans"/>
        <w:b/>
        <w:color w:val="808080" w:themeColor="background1" w:themeShade="80"/>
        <w:sz w:val="20"/>
        <w:szCs w:val="20"/>
      </w:rPr>
      <w:t xml:space="preserve"> 202</w:t>
    </w:r>
    <w:r w:rsidR="009D36B3">
      <w:rPr>
        <w:noProof/>
        <w:lang w:val="es-419" w:eastAsia="es-419"/>
      </w:rPr>
      <mc:AlternateContent>
        <mc:Choice Requires="wps">
          <w:drawing>
            <wp:anchor distT="0" distB="0" distL="114300" distR="114300" simplePos="0" relativeHeight="251658240" behindDoc="0" locked="0" layoutInCell="1" hidden="0" allowOverlap="1" wp14:anchorId="5FFD0720" wp14:editId="0907423A">
              <wp:simplePos x="0" y="0"/>
              <wp:positionH relativeFrom="column">
                <wp:posOffset>-1390649</wp:posOffset>
              </wp:positionH>
              <wp:positionV relativeFrom="paragraph">
                <wp:posOffset>-457199</wp:posOffset>
              </wp:positionV>
              <wp:extent cx="826135" cy="915035"/>
              <wp:effectExtent l="0" t="0" r="0" b="0"/>
              <wp:wrapNone/>
              <wp:docPr id="1" name="Rectángulo 1">
                <a:extLst xmlns:a="http://schemas.openxmlformats.org/drawingml/2006/main">
                  <a:ext uri="{FF2B5EF4-FFF2-40B4-BE49-F238E27FC236}">
                    <a16:creationId xmlns:a16="http://schemas.microsoft.com/office/drawing/2014/main" id="{ACD02DD6-C8E5-45A2-AB28-E8067C122F9A}"/>
                  </a:ext>
                </a:extLst>
              </wp:docPr>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7A4D7D" id="Rectángulo 1" o:spid="_x0000_s1026" style="position:absolute;margin-left:-109.5pt;margin-top:-36pt;width:65.05pt;height:72.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" fillcolor="#db0032" stroked="f" strokeweight="2pt"/>
          </w:pict>
        </mc:Fallback>
      </mc:AlternateContent>
    </w:r>
    <w:r w:rsidR="009D36B3">
      <w:rPr>
        <w:noProof/>
        <w:lang w:val="es-419" w:eastAsia="es-419"/>
      </w:rPr>
      <w:drawing>
        <wp:anchor distT="0" distB="0" distL="114300" distR="114300" simplePos="0" relativeHeight="251659264" behindDoc="0" locked="0" layoutInCell="1" hidden="0" allowOverlap="1" wp14:anchorId="76845840" wp14:editId="4E3A7D65">
          <wp:simplePos x="0" y="0"/>
          <wp:positionH relativeFrom="column">
            <wp:posOffset>-1390650</wp:posOffset>
          </wp:positionH>
          <wp:positionV relativeFrom="paragraph">
            <wp:posOffset>-304799</wp:posOffset>
          </wp:positionV>
          <wp:extent cx="827593" cy="729712"/>
          <wp:effectExtent l="0" t="0" r="0" b="0"/>
          <wp:wrapNone/>
          <wp:docPr id="5" name="image4.png">
            <a:extLst xmlns:a="http://schemas.openxmlformats.org/drawingml/2006/main">
              <a:ext uri="{FF2B5EF4-FFF2-40B4-BE49-F238E27FC236}">
                <a16:creationId xmlns:a16="http://schemas.microsoft.com/office/drawing/2014/main" id="{45211105-9F59-4597-8039-1B32ED9C4EDE}"/>
              </a:ext>
            </a:extLst>
          </wp:docPr>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009D36B3">
      <w:rPr>
        <w:noProof/>
        <w:lang w:val="es-419" w:eastAsia="es-419"/>
      </w:rPr>
      <w:drawing>
        <wp:anchor distT="0" distB="0" distL="114300" distR="114300" simplePos="0" relativeHeight="251660288" behindDoc="0" locked="0" layoutInCell="1" hidden="0" allowOverlap="1" wp14:anchorId="34E96621" wp14:editId="78FFE30A">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6" name="image6.png" descr="Colaborá con Libertad y Progreso - Fundación Libertad Y Progreso">
            <a:extLst xmlns:a="http://schemas.openxmlformats.org/drawingml/2006/main">
              <a:ext uri="{FF2B5EF4-FFF2-40B4-BE49-F238E27FC236}">
                <a16:creationId xmlns:a16="http://schemas.microsoft.com/office/drawing/2014/main" id="{A0175688-EA9D-43B6-BB26-74A9BF4466F7}"/>
              </a:ext>
            </a:extLst>
          </wp:docPr>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00810E02">
      <w:rPr>
        <w:rFonts w:ascii="Open Sans" w:eastAsia="Open Sans" w:hAnsi="Open Sans" w:cs="Open Sans"/>
        <w:b/>
        <w:color w:val="808080" w:themeColor="background1" w:themeShade="80"/>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DAA"/>
    <w:multiLevelType w:val="multilevel"/>
    <w:tmpl w:val="C3AE9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37E2F"/>
    <w:multiLevelType w:val="multilevel"/>
    <w:tmpl w:val="5E624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77AEA"/>
    <w:multiLevelType w:val="hybridMultilevel"/>
    <w:tmpl w:val="8A1848D6"/>
    <w:lvl w:ilvl="0" w:tplc="580A0001">
      <w:start w:val="1"/>
      <w:numFmt w:val="bullet"/>
      <w:lvlText w:val=""/>
      <w:lvlJc w:val="left"/>
      <w:pPr>
        <w:ind w:left="2421" w:hanging="360"/>
      </w:pPr>
      <w:rPr>
        <w:rFonts w:ascii="Symbol" w:hAnsi="Symbol" w:hint="default"/>
      </w:rPr>
    </w:lvl>
    <w:lvl w:ilvl="1" w:tplc="580A0003" w:tentative="1">
      <w:start w:val="1"/>
      <w:numFmt w:val="bullet"/>
      <w:lvlText w:val="o"/>
      <w:lvlJc w:val="left"/>
      <w:pPr>
        <w:ind w:left="3141" w:hanging="360"/>
      </w:pPr>
      <w:rPr>
        <w:rFonts w:ascii="Courier New" w:hAnsi="Courier New" w:cs="Courier New" w:hint="default"/>
      </w:rPr>
    </w:lvl>
    <w:lvl w:ilvl="2" w:tplc="580A0005" w:tentative="1">
      <w:start w:val="1"/>
      <w:numFmt w:val="bullet"/>
      <w:lvlText w:val=""/>
      <w:lvlJc w:val="left"/>
      <w:pPr>
        <w:ind w:left="3861" w:hanging="360"/>
      </w:pPr>
      <w:rPr>
        <w:rFonts w:ascii="Wingdings" w:hAnsi="Wingdings" w:hint="default"/>
      </w:rPr>
    </w:lvl>
    <w:lvl w:ilvl="3" w:tplc="580A0001" w:tentative="1">
      <w:start w:val="1"/>
      <w:numFmt w:val="bullet"/>
      <w:lvlText w:val=""/>
      <w:lvlJc w:val="left"/>
      <w:pPr>
        <w:ind w:left="4581" w:hanging="360"/>
      </w:pPr>
      <w:rPr>
        <w:rFonts w:ascii="Symbol" w:hAnsi="Symbol" w:hint="default"/>
      </w:rPr>
    </w:lvl>
    <w:lvl w:ilvl="4" w:tplc="580A0003" w:tentative="1">
      <w:start w:val="1"/>
      <w:numFmt w:val="bullet"/>
      <w:lvlText w:val="o"/>
      <w:lvlJc w:val="left"/>
      <w:pPr>
        <w:ind w:left="5301" w:hanging="360"/>
      </w:pPr>
      <w:rPr>
        <w:rFonts w:ascii="Courier New" w:hAnsi="Courier New" w:cs="Courier New" w:hint="default"/>
      </w:rPr>
    </w:lvl>
    <w:lvl w:ilvl="5" w:tplc="580A0005" w:tentative="1">
      <w:start w:val="1"/>
      <w:numFmt w:val="bullet"/>
      <w:lvlText w:val=""/>
      <w:lvlJc w:val="left"/>
      <w:pPr>
        <w:ind w:left="6021" w:hanging="360"/>
      </w:pPr>
      <w:rPr>
        <w:rFonts w:ascii="Wingdings" w:hAnsi="Wingdings" w:hint="default"/>
      </w:rPr>
    </w:lvl>
    <w:lvl w:ilvl="6" w:tplc="580A0001" w:tentative="1">
      <w:start w:val="1"/>
      <w:numFmt w:val="bullet"/>
      <w:lvlText w:val=""/>
      <w:lvlJc w:val="left"/>
      <w:pPr>
        <w:ind w:left="6741" w:hanging="360"/>
      </w:pPr>
      <w:rPr>
        <w:rFonts w:ascii="Symbol" w:hAnsi="Symbol" w:hint="default"/>
      </w:rPr>
    </w:lvl>
    <w:lvl w:ilvl="7" w:tplc="580A0003" w:tentative="1">
      <w:start w:val="1"/>
      <w:numFmt w:val="bullet"/>
      <w:lvlText w:val="o"/>
      <w:lvlJc w:val="left"/>
      <w:pPr>
        <w:ind w:left="7461" w:hanging="360"/>
      </w:pPr>
      <w:rPr>
        <w:rFonts w:ascii="Courier New" w:hAnsi="Courier New" w:cs="Courier New" w:hint="default"/>
      </w:rPr>
    </w:lvl>
    <w:lvl w:ilvl="8" w:tplc="580A0005" w:tentative="1">
      <w:start w:val="1"/>
      <w:numFmt w:val="bullet"/>
      <w:lvlText w:val=""/>
      <w:lvlJc w:val="left"/>
      <w:pPr>
        <w:ind w:left="8181" w:hanging="360"/>
      </w:pPr>
      <w:rPr>
        <w:rFonts w:ascii="Wingdings" w:hAnsi="Wingdings" w:hint="default"/>
      </w:rPr>
    </w:lvl>
  </w:abstractNum>
  <w:abstractNum w:abstractNumId="3" w15:restartNumberingAfterBreak="0">
    <w:nsid w:val="14484313"/>
    <w:multiLevelType w:val="hybridMultilevel"/>
    <w:tmpl w:val="052E17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5C020CA"/>
    <w:multiLevelType w:val="multilevel"/>
    <w:tmpl w:val="46709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A0FF4"/>
    <w:multiLevelType w:val="multilevel"/>
    <w:tmpl w:val="5630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21714"/>
    <w:multiLevelType w:val="multilevel"/>
    <w:tmpl w:val="0376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402AC"/>
    <w:multiLevelType w:val="multilevel"/>
    <w:tmpl w:val="3B1C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33E0C"/>
    <w:multiLevelType w:val="multilevel"/>
    <w:tmpl w:val="412A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A69A9"/>
    <w:multiLevelType w:val="multilevel"/>
    <w:tmpl w:val="9620D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F5546"/>
    <w:multiLevelType w:val="hybridMultilevel"/>
    <w:tmpl w:val="5DCA938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3C231AF"/>
    <w:multiLevelType w:val="multilevel"/>
    <w:tmpl w:val="6120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C6637"/>
    <w:multiLevelType w:val="multilevel"/>
    <w:tmpl w:val="52CE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C714BF"/>
    <w:multiLevelType w:val="multilevel"/>
    <w:tmpl w:val="401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356450"/>
    <w:multiLevelType w:val="multilevel"/>
    <w:tmpl w:val="37A4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B736E2"/>
    <w:multiLevelType w:val="multilevel"/>
    <w:tmpl w:val="6396E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8421A6"/>
    <w:multiLevelType w:val="multilevel"/>
    <w:tmpl w:val="282E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C63440"/>
    <w:multiLevelType w:val="multilevel"/>
    <w:tmpl w:val="51C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181442">
    <w:abstractNumId w:val="0"/>
  </w:num>
  <w:num w:numId="2" w16cid:durableId="1041394803">
    <w:abstractNumId w:val="5"/>
  </w:num>
  <w:num w:numId="3" w16cid:durableId="1114599156">
    <w:abstractNumId w:val="16"/>
  </w:num>
  <w:num w:numId="4" w16cid:durableId="1254585416">
    <w:abstractNumId w:val="10"/>
  </w:num>
  <w:num w:numId="5" w16cid:durableId="1273438017">
    <w:abstractNumId w:val="7"/>
  </w:num>
  <w:num w:numId="6" w16cid:durableId="1344090982">
    <w:abstractNumId w:val="4"/>
  </w:num>
  <w:num w:numId="7" w16cid:durableId="1501115061">
    <w:abstractNumId w:val="8"/>
  </w:num>
  <w:num w:numId="8" w16cid:durableId="1561864423">
    <w:abstractNumId w:val="1"/>
  </w:num>
  <w:num w:numId="9" w16cid:durableId="1619408193">
    <w:abstractNumId w:val="14"/>
  </w:num>
  <w:num w:numId="10" w16cid:durableId="1739208684">
    <w:abstractNumId w:val="6"/>
  </w:num>
  <w:num w:numId="11" w16cid:durableId="1863277071">
    <w:abstractNumId w:val="17"/>
  </w:num>
  <w:num w:numId="12" w16cid:durableId="1933315621">
    <w:abstractNumId w:val="2"/>
  </w:num>
  <w:num w:numId="13" w16cid:durableId="200754998">
    <w:abstractNumId w:val="9"/>
  </w:num>
  <w:num w:numId="14" w16cid:durableId="330178380">
    <w:abstractNumId w:val="15"/>
  </w:num>
  <w:num w:numId="15" w16cid:durableId="35202934">
    <w:abstractNumId w:val="3"/>
  </w:num>
  <w:num w:numId="16" w16cid:durableId="536623662">
    <w:abstractNumId w:val="11"/>
  </w:num>
  <w:num w:numId="17" w16cid:durableId="853422765">
    <w:abstractNumId w:val="13"/>
  </w:num>
  <w:num w:numId="18" w16cid:durableId="950599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EE"/>
    <w:rsid w:val="0000752D"/>
    <w:rsid w:val="0004018B"/>
    <w:rsid w:val="00055F43"/>
    <w:rsid w:val="000A20E3"/>
    <w:rsid w:val="000B7F2B"/>
    <w:rsid w:val="000C1ED9"/>
    <w:rsid w:val="000D51FA"/>
    <w:rsid w:val="000E12DE"/>
    <w:rsid w:val="000E627A"/>
    <w:rsid w:val="000F2E96"/>
    <w:rsid w:val="001037BA"/>
    <w:rsid w:val="00103C02"/>
    <w:rsid w:val="00110BA3"/>
    <w:rsid w:val="00134933"/>
    <w:rsid w:val="00135212"/>
    <w:rsid w:val="001472AF"/>
    <w:rsid w:val="00163E83"/>
    <w:rsid w:val="00187188"/>
    <w:rsid w:val="00191068"/>
    <w:rsid w:val="001B1201"/>
    <w:rsid w:val="001B5BBD"/>
    <w:rsid w:val="001B7C74"/>
    <w:rsid w:val="001D5AE1"/>
    <w:rsid w:val="001F510D"/>
    <w:rsid w:val="001F55AF"/>
    <w:rsid w:val="001F60CF"/>
    <w:rsid w:val="001F6740"/>
    <w:rsid w:val="00203170"/>
    <w:rsid w:val="00203E17"/>
    <w:rsid w:val="00210474"/>
    <w:rsid w:val="00226B46"/>
    <w:rsid w:val="00227578"/>
    <w:rsid w:val="00234E37"/>
    <w:rsid w:val="002378BC"/>
    <w:rsid w:val="00244C6B"/>
    <w:rsid w:val="002502A3"/>
    <w:rsid w:val="00254EE9"/>
    <w:rsid w:val="00257DE9"/>
    <w:rsid w:val="002643B5"/>
    <w:rsid w:val="00287C91"/>
    <w:rsid w:val="00294D96"/>
    <w:rsid w:val="00297862"/>
    <w:rsid w:val="002A69D7"/>
    <w:rsid w:val="002A7DE5"/>
    <w:rsid w:val="002B5899"/>
    <w:rsid w:val="002C38B0"/>
    <w:rsid w:val="00301B78"/>
    <w:rsid w:val="00301F5B"/>
    <w:rsid w:val="0030498B"/>
    <w:rsid w:val="00310654"/>
    <w:rsid w:val="0031336F"/>
    <w:rsid w:val="00313C81"/>
    <w:rsid w:val="00316C68"/>
    <w:rsid w:val="00342D98"/>
    <w:rsid w:val="00347338"/>
    <w:rsid w:val="0035502A"/>
    <w:rsid w:val="00355147"/>
    <w:rsid w:val="00360C33"/>
    <w:rsid w:val="00377F02"/>
    <w:rsid w:val="00387088"/>
    <w:rsid w:val="00394D56"/>
    <w:rsid w:val="00396BD4"/>
    <w:rsid w:val="003A09DC"/>
    <w:rsid w:val="003A3D4B"/>
    <w:rsid w:val="003B13D1"/>
    <w:rsid w:val="003B73B7"/>
    <w:rsid w:val="003E5A50"/>
    <w:rsid w:val="003F0501"/>
    <w:rsid w:val="004058FE"/>
    <w:rsid w:val="004262D8"/>
    <w:rsid w:val="0042750F"/>
    <w:rsid w:val="00447B8B"/>
    <w:rsid w:val="00451CBE"/>
    <w:rsid w:val="0046174B"/>
    <w:rsid w:val="00463066"/>
    <w:rsid w:val="0046622E"/>
    <w:rsid w:val="00487304"/>
    <w:rsid w:val="004A1F44"/>
    <w:rsid w:val="004B753A"/>
    <w:rsid w:val="004C139B"/>
    <w:rsid w:val="004C74B5"/>
    <w:rsid w:val="004D190E"/>
    <w:rsid w:val="004D6B65"/>
    <w:rsid w:val="004D7806"/>
    <w:rsid w:val="00515FD2"/>
    <w:rsid w:val="0053399C"/>
    <w:rsid w:val="00534223"/>
    <w:rsid w:val="00542027"/>
    <w:rsid w:val="005535AB"/>
    <w:rsid w:val="005565BE"/>
    <w:rsid w:val="00560604"/>
    <w:rsid w:val="00565DFF"/>
    <w:rsid w:val="005705EB"/>
    <w:rsid w:val="0058153D"/>
    <w:rsid w:val="00581E79"/>
    <w:rsid w:val="0058325B"/>
    <w:rsid w:val="005B59F3"/>
    <w:rsid w:val="005F02A6"/>
    <w:rsid w:val="005F39F2"/>
    <w:rsid w:val="00605B69"/>
    <w:rsid w:val="00614375"/>
    <w:rsid w:val="0061536F"/>
    <w:rsid w:val="0065066B"/>
    <w:rsid w:val="00653E60"/>
    <w:rsid w:val="0066060A"/>
    <w:rsid w:val="0067677B"/>
    <w:rsid w:val="006A7DBD"/>
    <w:rsid w:val="006B2BA8"/>
    <w:rsid w:val="006B6313"/>
    <w:rsid w:val="006B6F30"/>
    <w:rsid w:val="006C0527"/>
    <w:rsid w:val="006D67CE"/>
    <w:rsid w:val="00704B35"/>
    <w:rsid w:val="00712256"/>
    <w:rsid w:val="007200EB"/>
    <w:rsid w:val="00723CB2"/>
    <w:rsid w:val="00781588"/>
    <w:rsid w:val="00784400"/>
    <w:rsid w:val="0079022C"/>
    <w:rsid w:val="007909DE"/>
    <w:rsid w:val="00790A7E"/>
    <w:rsid w:val="007974F0"/>
    <w:rsid w:val="007B1D59"/>
    <w:rsid w:val="007E720C"/>
    <w:rsid w:val="007F0FF9"/>
    <w:rsid w:val="00807A60"/>
    <w:rsid w:val="00810E02"/>
    <w:rsid w:val="00826252"/>
    <w:rsid w:val="00826F7A"/>
    <w:rsid w:val="008351B2"/>
    <w:rsid w:val="008421F1"/>
    <w:rsid w:val="00842C6C"/>
    <w:rsid w:val="0085000F"/>
    <w:rsid w:val="00851002"/>
    <w:rsid w:val="00866B2B"/>
    <w:rsid w:val="00873D76"/>
    <w:rsid w:val="00885224"/>
    <w:rsid w:val="008908CA"/>
    <w:rsid w:val="00891D64"/>
    <w:rsid w:val="008A3E6D"/>
    <w:rsid w:val="008B3574"/>
    <w:rsid w:val="008B5D75"/>
    <w:rsid w:val="008B763B"/>
    <w:rsid w:val="008F36C3"/>
    <w:rsid w:val="009043D6"/>
    <w:rsid w:val="009078BD"/>
    <w:rsid w:val="0092318B"/>
    <w:rsid w:val="00930944"/>
    <w:rsid w:val="0095138C"/>
    <w:rsid w:val="00962CF7"/>
    <w:rsid w:val="009658BB"/>
    <w:rsid w:val="00971E54"/>
    <w:rsid w:val="0098145F"/>
    <w:rsid w:val="009B3EA8"/>
    <w:rsid w:val="009B51E2"/>
    <w:rsid w:val="009C432F"/>
    <w:rsid w:val="009D36B3"/>
    <w:rsid w:val="009D428D"/>
    <w:rsid w:val="00A05D49"/>
    <w:rsid w:val="00A53109"/>
    <w:rsid w:val="00A57867"/>
    <w:rsid w:val="00A57CDB"/>
    <w:rsid w:val="00AB469C"/>
    <w:rsid w:val="00AC6393"/>
    <w:rsid w:val="00AD0207"/>
    <w:rsid w:val="00AD1554"/>
    <w:rsid w:val="00AE5070"/>
    <w:rsid w:val="00AE5CEE"/>
    <w:rsid w:val="00B117F0"/>
    <w:rsid w:val="00B16FC3"/>
    <w:rsid w:val="00B37EA2"/>
    <w:rsid w:val="00B52C04"/>
    <w:rsid w:val="00B63C10"/>
    <w:rsid w:val="00B66016"/>
    <w:rsid w:val="00B81215"/>
    <w:rsid w:val="00BA462B"/>
    <w:rsid w:val="00BA57FA"/>
    <w:rsid w:val="00BC36C7"/>
    <w:rsid w:val="00BD1CAE"/>
    <w:rsid w:val="00BD1DB3"/>
    <w:rsid w:val="00BE242E"/>
    <w:rsid w:val="00C17C59"/>
    <w:rsid w:val="00C208BB"/>
    <w:rsid w:val="00C460E7"/>
    <w:rsid w:val="00C477BD"/>
    <w:rsid w:val="00C50EE6"/>
    <w:rsid w:val="00C6032B"/>
    <w:rsid w:val="00C60FED"/>
    <w:rsid w:val="00C6380B"/>
    <w:rsid w:val="00C8070D"/>
    <w:rsid w:val="00C83A3D"/>
    <w:rsid w:val="00CA48FD"/>
    <w:rsid w:val="00CA720F"/>
    <w:rsid w:val="00CB3634"/>
    <w:rsid w:val="00CD496B"/>
    <w:rsid w:val="00CD6E0F"/>
    <w:rsid w:val="00CE0881"/>
    <w:rsid w:val="00CE0EFF"/>
    <w:rsid w:val="00CE145E"/>
    <w:rsid w:val="00D01011"/>
    <w:rsid w:val="00D238F6"/>
    <w:rsid w:val="00D24284"/>
    <w:rsid w:val="00D57E00"/>
    <w:rsid w:val="00D71056"/>
    <w:rsid w:val="00D76C53"/>
    <w:rsid w:val="00D806F2"/>
    <w:rsid w:val="00DC1563"/>
    <w:rsid w:val="00DE312D"/>
    <w:rsid w:val="00DE556F"/>
    <w:rsid w:val="00DF7D0B"/>
    <w:rsid w:val="00E064BC"/>
    <w:rsid w:val="00E07379"/>
    <w:rsid w:val="00E13250"/>
    <w:rsid w:val="00E1548A"/>
    <w:rsid w:val="00E40092"/>
    <w:rsid w:val="00E41014"/>
    <w:rsid w:val="00E42106"/>
    <w:rsid w:val="00E53818"/>
    <w:rsid w:val="00E57957"/>
    <w:rsid w:val="00E732B3"/>
    <w:rsid w:val="00E92EDB"/>
    <w:rsid w:val="00EA029D"/>
    <w:rsid w:val="00EB67EE"/>
    <w:rsid w:val="00EC7D20"/>
    <w:rsid w:val="00EF1FEC"/>
    <w:rsid w:val="00F008B8"/>
    <w:rsid w:val="00F043EA"/>
    <w:rsid w:val="00F337FC"/>
    <w:rsid w:val="00F565CF"/>
    <w:rsid w:val="00F73F9F"/>
    <w:rsid w:val="00F77CBB"/>
    <w:rsid w:val="00F85134"/>
    <w:rsid w:val="00F91BB3"/>
    <w:rsid w:val="00FA3EC0"/>
    <w:rsid w:val="00FA3F93"/>
    <w:rsid w:val="00FA5AD4"/>
    <w:rsid w:val="00FB44D1"/>
    <w:rsid w:val="00FD319E"/>
    <w:rsid w:val="00FD39DB"/>
    <w:rsid w:val="00FE154F"/>
    <w:rsid w:val="00FE2A00"/>
    <w:rsid w:val="00FF3475"/>
    <w:rsid w:val="1C41A1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1659A47"/>
  <w15:docId w15:val="{7520272E-1035-4DFB-93EE-B1F430DEA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F3475"/>
    <w:pPr>
      <w:tabs>
        <w:tab w:val="center" w:pos="4252"/>
        <w:tab w:val="right" w:pos="8504"/>
      </w:tabs>
      <w:spacing w:after="0" w:line="240" w:lineRule="auto"/>
    </w:pPr>
  </w:style>
  <w:style w:type="character" w:customStyle="1" w:styleId="HeaderChar">
    <w:name w:val="Header Char"/>
    <w:basedOn w:val="DefaultParagraphFont"/>
    <w:link w:val="Header"/>
    <w:uiPriority w:val="99"/>
    <w:rsid w:val="00FF3475"/>
  </w:style>
  <w:style w:type="paragraph" w:styleId="Footer">
    <w:name w:val="footer"/>
    <w:basedOn w:val="Normal"/>
    <w:link w:val="FooterChar"/>
    <w:uiPriority w:val="99"/>
    <w:unhideWhenUsed/>
    <w:rsid w:val="00FF3475"/>
    <w:pPr>
      <w:tabs>
        <w:tab w:val="center" w:pos="4252"/>
        <w:tab w:val="right" w:pos="8504"/>
      </w:tabs>
      <w:spacing w:after="0" w:line="240" w:lineRule="auto"/>
    </w:pPr>
  </w:style>
  <w:style w:type="character" w:customStyle="1" w:styleId="FooterChar">
    <w:name w:val="Footer Char"/>
    <w:basedOn w:val="DefaultParagraphFont"/>
    <w:link w:val="Footer"/>
    <w:uiPriority w:val="99"/>
    <w:rsid w:val="00FF3475"/>
  </w:style>
  <w:style w:type="paragraph" w:styleId="ListParagraph">
    <w:name w:val="List Paragraph"/>
    <w:basedOn w:val="Normal"/>
    <w:uiPriority w:val="34"/>
    <w:qFormat/>
    <w:rsid w:val="002A69D7"/>
    <w:pPr>
      <w:ind w:left="720"/>
      <w:contextualSpacing/>
    </w:pPr>
    <w:rPr>
      <w:rFonts w:asciiTheme="minorHAnsi" w:eastAsiaTheme="minorHAnsi" w:hAnsiTheme="minorHAnsi" w:cstheme="minorBidi"/>
      <w:lang w:val="es-ES"/>
    </w:rPr>
  </w:style>
  <w:style w:type="paragraph" w:styleId="NormalWeb">
    <w:name w:val="Normal (Web)"/>
    <w:basedOn w:val="Normal"/>
    <w:uiPriority w:val="99"/>
    <w:unhideWhenUsed/>
    <w:rsid w:val="00360C3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ommentReference">
    <w:name w:val="annotation reference"/>
    <w:basedOn w:val="DefaultParagraphFont"/>
    <w:uiPriority w:val="99"/>
    <w:semiHidden/>
    <w:unhideWhenUsed/>
    <w:rsid w:val="00CE145E"/>
    <w:rPr>
      <w:sz w:val="16"/>
      <w:szCs w:val="16"/>
    </w:rPr>
  </w:style>
  <w:style w:type="paragraph" w:styleId="CommentText">
    <w:name w:val="annotation text"/>
    <w:basedOn w:val="Normal"/>
    <w:link w:val="CommentTextChar"/>
    <w:uiPriority w:val="99"/>
    <w:unhideWhenUsed/>
    <w:rsid w:val="00CE145E"/>
    <w:pPr>
      <w:spacing w:line="240" w:lineRule="auto"/>
    </w:pPr>
    <w:rPr>
      <w:sz w:val="20"/>
      <w:szCs w:val="20"/>
    </w:rPr>
  </w:style>
  <w:style w:type="character" w:customStyle="1" w:styleId="CommentTextChar">
    <w:name w:val="Comment Text Char"/>
    <w:basedOn w:val="DefaultParagraphFont"/>
    <w:link w:val="CommentText"/>
    <w:uiPriority w:val="99"/>
    <w:rsid w:val="00CE145E"/>
    <w:rPr>
      <w:sz w:val="20"/>
      <w:szCs w:val="20"/>
    </w:rPr>
  </w:style>
  <w:style w:type="paragraph" w:styleId="CommentSubject">
    <w:name w:val="annotation subject"/>
    <w:basedOn w:val="CommentText"/>
    <w:next w:val="CommentText"/>
    <w:link w:val="CommentSubjectChar"/>
    <w:uiPriority w:val="99"/>
    <w:semiHidden/>
    <w:unhideWhenUsed/>
    <w:rsid w:val="00CE145E"/>
    <w:rPr>
      <w:b/>
      <w:bCs/>
    </w:rPr>
  </w:style>
  <w:style w:type="character" w:customStyle="1" w:styleId="CommentSubjectChar">
    <w:name w:val="Comment Subject Char"/>
    <w:basedOn w:val="CommentTextChar"/>
    <w:link w:val="CommentSubject"/>
    <w:uiPriority w:val="99"/>
    <w:semiHidden/>
    <w:rsid w:val="00CE145E"/>
    <w:rPr>
      <w:b/>
      <w:bCs/>
      <w:sz w:val="20"/>
      <w:szCs w:val="20"/>
    </w:rPr>
  </w:style>
  <w:style w:type="paragraph" w:styleId="Revision">
    <w:name w:val="Revision"/>
    <w:hidden/>
    <w:uiPriority w:val="99"/>
    <w:semiHidden/>
    <w:rsid w:val="004C139B"/>
    <w:pPr>
      <w:spacing w:after="0" w:line="240" w:lineRule="auto"/>
    </w:pPr>
  </w:style>
  <w:style w:type="paragraph" w:customStyle="1" w:styleId="Textonotapie1">
    <w:name w:val="Texto nota pie1"/>
    <w:basedOn w:val="Normal"/>
    <w:next w:val="FootnoteText"/>
    <w:link w:val="TextonotapieCar"/>
    <w:uiPriority w:val="99"/>
    <w:semiHidden/>
    <w:unhideWhenUsed/>
    <w:rsid w:val="00A53109"/>
    <w:pPr>
      <w:spacing w:after="0" w:line="240" w:lineRule="auto"/>
    </w:pPr>
    <w:rPr>
      <w:sz w:val="20"/>
      <w:szCs w:val="20"/>
    </w:rPr>
  </w:style>
  <w:style w:type="character" w:customStyle="1" w:styleId="TextonotapieCar">
    <w:name w:val="Texto nota pie Car"/>
    <w:basedOn w:val="DefaultParagraphFont"/>
    <w:link w:val="Textonotapie1"/>
    <w:uiPriority w:val="99"/>
    <w:semiHidden/>
    <w:rsid w:val="00A53109"/>
    <w:rPr>
      <w:sz w:val="20"/>
      <w:szCs w:val="20"/>
    </w:rPr>
  </w:style>
  <w:style w:type="character" w:styleId="FootnoteReference">
    <w:name w:val="footnote reference"/>
    <w:basedOn w:val="DefaultParagraphFont"/>
    <w:uiPriority w:val="99"/>
    <w:semiHidden/>
    <w:unhideWhenUsed/>
    <w:rsid w:val="00A53109"/>
    <w:rPr>
      <w:vertAlign w:val="superscript"/>
    </w:rPr>
  </w:style>
  <w:style w:type="character" w:customStyle="1" w:styleId="Hipervnculo1">
    <w:name w:val="Hipervínculo1"/>
    <w:basedOn w:val="DefaultParagraphFont"/>
    <w:uiPriority w:val="99"/>
    <w:unhideWhenUsed/>
    <w:rsid w:val="00A53109"/>
    <w:rPr>
      <w:color w:val="0563C1"/>
      <w:u w:val="single"/>
    </w:rPr>
  </w:style>
  <w:style w:type="table" w:customStyle="1" w:styleId="Tablaconcuadrcula1">
    <w:name w:val="Tabla con cuadrícula1"/>
    <w:basedOn w:val="TableNormal"/>
    <w:next w:val="TableGrid"/>
    <w:uiPriority w:val="39"/>
    <w:rsid w:val="00A53109"/>
    <w:pPr>
      <w:spacing w:after="0" w:line="240" w:lineRule="auto"/>
    </w:pPr>
    <w:rPr>
      <w:rFonts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5310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53109"/>
    <w:rPr>
      <w:sz w:val="20"/>
      <w:szCs w:val="20"/>
    </w:rPr>
  </w:style>
  <w:style w:type="table" w:styleId="TableGrid">
    <w:name w:val="Table Grid"/>
    <w:basedOn w:val="TableNormal"/>
    <w:uiPriority w:val="39"/>
    <w:rsid w:val="00A53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4D56"/>
    <w:rPr>
      <w:color w:val="0000FF" w:themeColor="hyperlink"/>
      <w:u w:val="single"/>
    </w:rPr>
  </w:style>
  <w:style w:type="character" w:styleId="UnresolvedMention">
    <w:name w:val="Unresolved Mention"/>
    <w:basedOn w:val="DefaultParagraphFont"/>
    <w:uiPriority w:val="99"/>
    <w:semiHidden/>
    <w:unhideWhenUsed/>
    <w:rsid w:val="00394D56"/>
    <w:rPr>
      <w:color w:val="605E5C"/>
      <w:shd w:val="clear" w:color="auto" w:fill="E1DFDD"/>
    </w:rPr>
  </w:style>
  <w:style w:type="character" w:styleId="FollowedHyperlink">
    <w:name w:val="FollowedHyperlink"/>
    <w:basedOn w:val="DefaultParagraphFont"/>
    <w:uiPriority w:val="99"/>
    <w:semiHidden/>
    <w:unhideWhenUsed/>
    <w:rsid w:val="003F0501"/>
    <w:rPr>
      <w:color w:val="800080" w:themeColor="followedHyperlink"/>
      <w:u w:val="single"/>
    </w:rPr>
  </w:style>
  <w:style w:type="character" w:styleId="Strong">
    <w:name w:val="Strong"/>
    <w:basedOn w:val="DefaultParagraphFont"/>
    <w:uiPriority w:val="22"/>
    <w:qFormat/>
    <w:rsid w:val="00110B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Thiago Paradela</cp:lastModifiedBy>
  <cp:revision>30</cp:revision>
  <cp:lastPrinted>2024-09-12T19:30:00Z</cp:lastPrinted>
  <dcterms:created xsi:type="dcterms:W3CDTF">2024-09-17T17:58:00Z</dcterms:created>
  <dcterms:modified xsi:type="dcterms:W3CDTF">2026-06-23T19:23:00Z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ffc068bd2e02df4eeb8795c9e65fe78f41b55f45276d1d0e36ffc4546ebb0bd9</vt:lpwstr>
  </property>
</Properties>
</file>