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14:paraId="4D17266A" wp14:textId="77777777">
      <w:pPr>
        <w:spacing w:before="0" w:after="40" w:line="276" w:lineRule="auto"/>
      </w:pPr>
      <w:r>
        <w:rPr>
          <w:rFonts w:ascii="Open Sans" w:hAnsi="Open Sans" w:cs="Open Sans"/>
          <w:b/>
          <w:i w:val="0"/>
          <w:color w:val="FF0000"/>
          <w:sz w:val="40"/>
        </w:rPr>
        <w:t>LÉAME — PROYECTO ITR (ÍNDICE DE TRANSPARENCIA REPUBLICANA)</w:t>
      </w:r>
    </w:p>
    <w:p xmlns:wp14="http://schemas.microsoft.com/office/word/2010/wordml" w14:paraId="090CF4CA" wp14:textId="77777777">
      <w:pPr>
        <w:spacing w:before="0" w:after="160" w:line="276" w:lineRule="auto"/>
        <w:pBdr>
          <w:bottom w:val="single" w:color="C8102E" w:sz="6" w:space="2"/>
        </w:pBdr>
      </w:pPr>
      <w:r>
        <w:rPr>
          <w:rFonts w:ascii="Open Sans" w:hAnsi="Open Sans" w:cs="Open Sans"/>
          <w:b w:val="0"/>
          <w:i/>
          <w:color w:val="777777"/>
          <w:sz w:val="18"/>
        </w:rPr>
        <w:t>Departamento de Políticas Públicas — Fundación Libertad y Progreso · Junio 2026</w:t>
      </w:r>
    </w:p>
    <w:p xmlns:wp14="http://schemas.microsoft.com/office/word/2010/wordml" w14:paraId="70351495" wp14:textId="77777777">
      <w:pPr>
        <w:spacing w:before="240" w:after="120" w:line="276" w:lineRule="auto"/>
      </w:pPr>
      <w:r>
        <w:rPr>
          <w:rFonts w:ascii="Open Sans" w:hAnsi="Open Sans" w:cs="Open Sans"/>
          <w:b/>
          <w:i w:val="0"/>
          <w:color w:val="FF0000"/>
          <w:sz w:val="26"/>
        </w:rPr>
        <w:t>Qué es el ITR</w:t>
      </w:r>
    </w:p>
    <w:p xmlns:wp14="http://schemas.microsoft.com/office/word/2010/wordml" w14:paraId="0CC0AE86" wp14:textId="77777777">
      <w:pPr>
        <w:spacing w:before="0" w:after="120" w:line="276" w:lineRule="auto"/>
      </w:pPr>
      <w:r>
        <w:rPr>
          <w:rFonts w:ascii="Open Sans" w:hAnsi="Open Sans" w:cs="Open Sans"/>
          <w:b w:val="0"/>
          <w:i w:val="0"/>
          <w:color w:val="404040"/>
          <w:sz w:val="20"/>
        </w:rPr>
        <w:t>El Índice de Transparencia Republicana (ITR) es un índice mensual, de elaboración propia, que mide con datos administrativos duros —sin encuestas ni opiniones— cuán transparente, limitado y sujeto a controles está el poder en la Argentina. Mira la república desde la división de poderes y los frenos y contrapesos, y ancla cada variable a un ideal absoluto de calidad institucional: el 100 es el óptimo alcanzable y el 0 el colapso. Por eso mide distancia al ideal, no posición relativa al pasado.</w:t>
      </w:r>
    </w:p>
    <w:p xmlns:wp14="http://schemas.microsoft.com/office/word/2010/wordml" w14:paraId="044D81F7" wp14:textId="77777777">
      <w:pPr>
        <w:spacing w:before="240" w:after="120" w:line="276" w:lineRule="auto"/>
      </w:pPr>
      <w:r>
        <w:rPr>
          <w:rFonts w:ascii="Open Sans" w:hAnsi="Open Sans" w:cs="Open Sans"/>
          <w:b/>
          <w:i w:val="0"/>
          <w:color w:val="FF0000"/>
          <w:sz w:val="26"/>
        </w:rPr>
        <w:t>Cómo funciona</w:t>
      </w:r>
    </w:p>
    <w:p xmlns:wp14="http://schemas.microsoft.com/office/word/2010/wordml" w14:paraId="660E280C" wp14:textId="77777777">
      <w:pPr>
        <w:spacing w:before="0" w:after="120" w:line="276" w:lineRule="auto"/>
      </w:pPr>
      <w:r>
        <w:rPr>
          <w:rFonts w:ascii="Open Sans" w:hAnsi="Open Sans" w:cs="Open Sans"/>
          <w:b w:val="0"/>
          <w:i w:val="0"/>
          <w:color w:val="404040"/>
          <w:sz w:val="20"/>
        </w:rPr>
        <w:t>Cada variable se normaliza por anclaje lineal a ese ideal (0–100) y luego se agregan los resultados en cinco macrocategorías mediante promedios ponderados con pesos fijos. Es un método determinístico y auditable: no hay regresión ni coeficientes estimados, y cualquiera puede reproducir el número con las fuentes públicas. Las tasas se suavizan a 12 meses; los estados binarios (como el presupuesto aprobado) valen por entero. El detalle completo está en la Nota metodológica (carpeta “Modelos y Administración”).</w:t>
      </w:r>
    </w:p>
    <w:p xmlns:wp14="http://schemas.microsoft.com/office/word/2010/wordml" w14:paraId="378370DD" wp14:textId="77777777">
      <w:pPr>
        <w:spacing w:before="240" w:after="120" w:line="276" w:lineRule="auto"/>
      </w:pPr>
      <w:r>
        <w:rPr>
          <w:rFonts w:ascii="Open Sans" w:hAnsi="Open Sans" w:cs="Open Sans"/>
          <w:b/>
          <w:i w:val="0"/>
          <w:color w:val="FF0000"/>
          <w:sz w:val="26"/>
        </w:rPr>
        <w:t>Qué variables tiene</w:t>
      </w:r>
    </w:p>
    <w:p xmlns:wp14="http://schemas.microsoft.com/office/word/2010/wordml" w14:paraId="70F93908" wp14:textId="77777777">
      <w:pPr>
        <w:spacing w:before="0" w:after="120" w:line="276" w:lineRule="auto"/>
      </w:pPr>
      <w:r>
        <w:rPr>
          <w:rFonts w:ascii="Open Sans" w:hAnsi="Open Sans" w:cs="Open Sans"/>
          <w:b w:val="0"/>
          <w:i w:val="0"/>
          <w:color w:val="404040"/>
          <w:sz w:val="20"/>
        </w:rPr>
        <w:t>El índice pleno reúne 18 variables en cinco ejes con pesos macro fijos:</w:t>
      </w:r>
    </w:p>
    <w:p xmlns:wp14="http://schemas.microsoft.com/office/word/2010/wordml" w14:paraId="522E1B5B" wp14:textId="77777777">
      <w:pPr>
        <w:spacing w:before="0" w:after="60" w:line="276" w:lineRule="auto"/>
      </w:pPr>
      <w:r>
        <w:rPr>
          <w:rFonts w:ascii="Open Sans" w:hAnsi="Open Sans" w:cs="Open Sans"/>
          <w:b/>
          <w:i w:val="0"/>
          <w:color w:val="404040"/>
          <w:sz w:val="20"/>
        </w:rPr>
        <w:t xml:space="preserve">Poder Ejecutivo (30 %): </w:t>
      </w:r>
      <w:r>
        <w:rPr>
          <w:rFonts w:ascii="Open Sans" w:hAnsi="Open Sans" w:cs="Open Sans"/>
          <w:b w:val="0"/>
          <w:i w:val="0"/>
          <w:color w:val="404040"/>
          <w:sz w:val="20"/>
        </w:rPr>
        <w:t>DNU vs. leyes, discrecionalidad presupuestaria, transparencia activa (acceso a la información) y ATN (federalismo).</w:t>
      </w:r>
    </w:p>
    <w:p xmlns:wp14="http://schemas.microsoft.com/office/word/2010/wordml" w14:paraId="46E409B7" wp14:textId="77777777">
      <w:pPr>
        <w:spacing w:before="0" w:after="60" w:line="276" w:lineRule="auto"/>
      </w:pPr>
      <w:r>
        <w:rPr>
          <w:rFonts w:ascii="Open Sans" w:hAnsi="Open Sans" w:cs="Open Sans"/>
          <w:b/>
          <w:i w:val="0"/>
          <w:color w:val="404040"/>
          <w:sz w:val="20"/>
        </w:rPr>
        <w:t xml:space="preserve">Poder Legislativo (20 %): </w:t>
      </w:r>
      <w:r>
        <w:rPr>
          <w:rFonts w:ascii="Open Sans" w:hAnsi="Open Sans" w:cs="Open Sans"/>
          <w:b w:val="0"/>
          <w:i w:val="0"/>
          <w:color w:val="404040"/>
          <w:sz w:val="20"/>
        </w:rPr>
        <w:t>eficacia de control, calidad normativa y costo del Legislativo.</w:t>
      </w:r>
    </w:p>
    <w:p xmlns:wp14="http://schemas.microsoft.com/office/word/2010/wordml" w14:paraId="57233A93" wp14:textId="77777777">
      <w:pPr>
        <w:spacing w:before="0" w:after="60" w:line="276" w:lineRule="auto"/>
      </w:pPr>
      <w:r>
        <w:rPr>
          <w:rFonts w:ascii="Open Sans" w:hAnsi="Open Sans" w:cs="Open Sans"/>
          <w:b/>
          <w:i w:val="0"/>
          <w:color w:val="404040"/>
          <w:sz w:val="20"/>
        </w:rPr>
        <w:t xml:space="preserve">Poder Judicial (20 %): </w:t>
      </w:r>
      <w:r>
        <w:rPr>
          <w:rFonts w:ascii="Open Sans" w:hAnsi="Open Sans" w:cs="Open Sans"/>
          <w:b w:val="0"/>
          <w:i w:val="0"/>
          <w:color w:val="404040"/>
          <w:sz w:val="20"/>
        </w:rPr>
        <w:t>desempeño de la Corte y cobertura judicial.</w:t>
      </w:r>
    </w:p>
    <w:p xmlns:wp14="http://schemas.microsoft.com/office/word/2010/wordml" w14:paraId="3C65BB5B" wp14:textId="77777777">
      <w:pPr>
        <w:spacing w:before="0" w:after="60" w:line="276" w:lineRule="auto"/>
      </w:pPr>
      <w:r>
        <w:rPr>
          <w:rFonts w:ascii="Open Sans" w:hAnsi="Open Sans" w:cs="Open Sans"/>
          <w:b/>
          <w:i w:val="0"/>
          <w:color w:val="404040"/>
          <w:sz w:val="20"/>
        </w:rPr>
        <w:t xml:space="preserve">Prensa Institucional (15 %): </w:t>
      </w:r>
      <w:r>
        <w:rPr>
          <w:rFonts w:ascii="Open Sans" w:hAnsi="Open Sans" w:cs="Open Sans"/>
          <w:b w:val="0"/>
          <w:i w:val="0"/>
          <w:color w:val="404040"/>
          <w:sz w:val="20"/>
        </w:rPr>
        <w:t>escrutinio abierto, pauta oficial, causas contra periodistas, medios estatales y acceso de la prensa.</w:t>
      </w:r>
    </w:p>
    <w:p xmlns:wp14="http://schemas.microsoft.com/office/word/2010/wordml" w14:paraId="7DF4FFEB" wp14:textId="77777777">
      <w:pPr>
        <w:spacing w:before="0" w:after="120" w:line="276" w:lineRule="auto"/>
      </w:pPr>
      <w:r>
        <w:rPr>
          <w:rFonts w:ascii="Open Sans" w:hAnsi="Open Sans" w:cs="Open Sans"/>
          <w:b/>
          <w:i w:val="0"/>
          <w:color w:val="404040"/>
          <w:sz w:val="20"/>
        </w:rPr>
        <w:t xml:space="preserve">Banco Central (15 %): </w:t>
      </w:r>
      <w:r>
        <w:rPr>
          <w:rFonts w:ascii="Open Sans" w:hAnsi="Open Sans" w:cs="Open Sans"/>
          <w:b w:val="0"/>
          <w:i w:val="0"/>
          <w:color w:val="404040"/>
          <w:sz w:val="20"/>
        </w:rPr>
        <w:t>financiamiento al Tesoro, letras intransferibles, designación del presidente y respeto de la Carta Orgánica.</w:t>
      </w:r>
    </w:p>
    <w:p xmlns:wp14="http://schemas.microsoft.com/office/word/2010/wordml" w14:paraId="6B2F0B04" wp14:textId="77777777">
      <w:pPr>
        <w:spacing w:before="240" w:after="120" w:line="276" w:lineRule="auto"/>
      </w:pPr>
      <w:r>
        <w:rPr>
          <w:rFonts w:ascii="Open Sans" w:hAnsi="Open Sans" w:cs="Open Sans"/>
          <w:b/>
          <w:i w:val="0"/>
          <w:color w:val="FF0000"/>
          <w:sz w:val="26"/>
        </w:rPr>
        <w:t>Cómo se comporta</w:t>
      </w:r>
    </w:p>
    <w:p xmlns:wp14="http://schemas.microsoft.com/office/word/2010/wordml" w14:paraId="46B67C70" wp14:textId="77777777">
      <w:pPr>
        <w:spacing w:before="0" w:after="120" w:line="276" w:lineRule="auto"/>
      </w:pPr>
      <w:r>
        <w:rPr>
          <w:rFonts w:ascii="Open Sans" w:hAnsi="Open Sans" w:cs="Open Sans"/>
          <w:b w:val="0"/>
          <w:i w:val="0"/>
          <w:color w:val="404040"/>
          <w:sz w:val="20"/>
        </w:rPr>
        <w:t>El índice se mueve de manera gradual mes a mes (por el suavizado) y reacciona a hechos institucionales concretos: salta cuando el Congreso aprueba un presupuesto, mejora cuando cesa el financiamiento monetario al Tesoro o cae la pauta oficial, y retrocede ante episodios como el cierre de la sala de prensa o el gobierno intensivo por decreto. Se publican dos lecturas: un reporte mensual (consolidado + desagregado por eje, con la variación del último mes) y un reporte histórico anual que compara gestiones sobre la serie núcleo de largo plazo.</w:t>
      </w:r>
    </w:p>
    <w:p xmlns:wp14="http://schemas.microsoft.com/office/word/2010/wordml" w14:paraId="3AE8A3DA" wp14:textId="77777777">
      <w:pPr>
        <w:spacing w:before="240" w:after="120" w:line="276" w:lineRule="auto"/>
      </w:pPr>
      <w:r>
        <w:rPr>
          <w:rFonts w:ascii="Open Sans" w:hAnsi="Open Sans" w:cs="Open Sans"/>
          <w:b/>
          <w:i w:val="0"/>
          <w:color w:val="FF0000"/>
          <w:sz w:val="26"/>
        </w:rPr>
        <w:t>Qué voz institucional representa</w:t>
      </w:r>
    </w:p>
    <w:p xmlns:wp14="http://schemas.microsoft.com/office/word/2010/wordml" w14:paraId="64AF4BE1" wp14:textId="77777777">
      <w:pPr>
        <w:spacing w:before="0" w:after="120" w:line="276" w:lineRule="auto"/>
      </w:pPr>
      <w:r>
        <w:rPr>
          <w:rFonts w:ascii="Open Sans" w:hAnsi="Open Sans" w:cs="Open Sans"/>
          <w:b w:val="0"/>
          <w:i w:val="0"/>
          <w:color w:val="404040"/>
          <w:sz w:val="20"/>
        </w:rPr>
        <w:t>El ITR y sus reportes expresan la voz de la Fundación Libertad y Progreso: liberalismo clásico, con eje en la división de poderes, la disciplina fiscal y monetaria, la propiedad privada y la igualdad ante la ley. Es una voz asertiva, pedagógica y basada en evidencia, que celebra los avances republicanos sin tibieza pero señala los retrocesos con el mismo método, sin maquillar los datos. La meta de fondo es un Estado limitado por la ley y por los controles republicanos.</w:t>
      </w:r>
    </w:p>
    <w:p xmlns:wp14="http://schemas.microsoft.com/office/word/2010/wordml" w14:paraId="5B9E9EA1" wp14:textId="77777777">
      <w:pPr>
        <w:spacing w:before="240" w:after="120" w:line="276" w:lineRule="auto"/>
      </w:pPr>
      <w:r>
        <w:rPr>
          <w:rFonts w:ascii="Open Sans" w:hAnsi="Open Sans" w:cs="Open Sans"/>
          <w:b/>
          <w:i w:val="0"/>
          <w:color w:val="FF0000"/>
          <w:sz w:val="26"/>
        </w:rPr>
        <w:t>Organización del proyecto</w:t>
      </w:r>
    </w:p>
    <w:p xmlns:wp14="http://schemas.microsoft.com/office/word/2010/wordml" w14:paraId="50BEF503" wp14:textId="77777777">
      <w:pPr>
        <w:spacing w:before="0" w:after="120" w:line="276" w:lineRule="auto"/>
      </w:pPr>
      <w:r>
        <w:rPr>
          <w:rFonts w:ascii="Open Sans" w:hAnsi="Open Sans" w:cs="Open Sans"/>
          <w:b w:val="0"/>
          <w:i w:val="0"/>
          <w:color w:val="404040"/>
          <w:sz w:val="20"/>
        </w:rPr>
        <w:t>Carpetas 01 a 06: los módulos de cálculo por eje (más Histórico). 00_Comun: ensamblador y gráficos. output: datos generados y snapshots. Documentos: reportes y materiales. Modelos y Administración: el Modelo de documento LyP (plantilla de estilo de todos los informes) y la Nota metodológica. Todos los informes se maquetan sobre ese modelo.</w:t>
      </w:r>
    </w:p>
    <w:sectPr w:rsidR="00A53109">
      <w:headerReference w:type="default" r:id="rId8"/>
      <w:footerReference w:type="default" r:id="rId9"/>
      <w:pgSz w:w="12240" w:h="15840" w:orient="portrait"/>
      <w:pgMar w:top="1440" w:right="1440" w:bottom="1440" w:left="283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77CBB" w:rsidRDefault="00F77CBB" w14:paraId="32A4E54C" w14:textId="77777777">
      <w:pPr>
        <w:spacing w:after="0" w:line="240" w:lineRule="auto"/>
      </w:pPr>
      <w:r>
        <w:separator/>
      </w:r>
    </w:p>
  </w:endnote>
  <w:endnote w:type="continuationSeparator" w:id="0">
    <w:p w:rsidR="00F77CBB" w:rsidRDefault="00F77CBB" w14:paraId="67B6C11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Montserrat">
    <w:altName w:val="Times New Roman"/>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FF3475" w:rsidR="00EB67EE" w:rsidRDefault="009D36B3" w14:paraId="402F9CB4" w14:textId="733605CD">
    <w:pPr>
      <w:pBdr>
        <w:top w:val="nil"/>
        <w:left w:val="nil"/>
        <w:bottom w:val="nil"/>
        <w:right w:val="nil"/>
        <w:between w:val="nil"/>
      </w:pBdr>
      <w:tabs>
        <w:tab w:val="center" w:pos="4252"/>
        <w:tab w:val="right" w:pos="8504"/>
      </w:tabs>
      <w:spacing w:after="0" w:line="240" w:lineRule="auto"/>
      <w:rPr>
        <w:rFonts w:ascii="Open Sans" w:hAnsi="Open Sans" w:cs="Open Sans"/>
        <w:b/>
        <w:color w:val="C00000"/>
      </w:rPr>
    </w:pPr>
    <w:r>
      <w:rPr>
        <w:color w:val="000000"/>
      </w:rPr>
      <w:t xml:space="preserve"> </w:t>
    </w:r>
    <w:r>
      <w:rPr>
        <w:b/>
        <w:color w:val="C00000"/>
      </w:rPr>
      <w:tab/>
    </w:r>
    <w:r>
      <w:rPr>
        <w:b/>
        <w:color w:val="C00000"/>
      </w:rPr>
      <w:tab/>
    </w:r>
    <w:r>
      <w:rPr>
        <w:b/>
        <w:color w:val="C00000"/>
      </w:rPr>
      <w:tab/>
    </w:r>
    <w:r w:rsidRPr="00FF3475">
      <w:rPr>
        <w:rFonts w:ascii="Open Sans" w:hAnsi="Open Sans" w:eastAsia="Montserrat" w:cs="Open Sans"/>
        <w:b/>
        <w:color w:val="C00000"/>
      </w:rPr>
      <w:fldChar w:fldCharType="begin"/>
    </w:r>
    <w:r w:rsidRPr="00FF3475">
      <w:rPr>
        <w:rFonts w:ascii="Open Sans" w:hAnsi="Open Sans" w:eastAsia="Montserrat" w:cs="Open Sans"/>
        <w:b/>
        <w:color w:val="C00000"/>
      </w:rPr>
      <w:instrText>PAGE</w:instrText>
    </w:r>
    <w:r w:rsidRPr="00FF3475">
      <w:rPr>
        <w:rFonts w:ascii="Open Sans" w:hAnsi="Open Sans" w:eastAsia="Montserrat" w:cs="Open Sans"/>
        <w:b/>
        <w:color w:val="C00000"/>
      </w:rPr>
      <w:fldChar w:fldCharType="separate"/>
    </w:r>
    <w:r w:rsidR="00396BD4">
      <w:rPr>
        <w:rFonts w:ascii="Open Sans" w:hAnsi="Open Sans" w:eastAsia="Montserrat" w:cs="Open Sans"/>
        <w:b/>
        <w:noProof/>
        <w:color w:val="C00000"/>
      </w:rPr>
      <w:t>7</w:t>
    </w:r>
    <w:r w:rsidRPr="00FF3475">
      <w:rPr>
        <w:rFonts w:ascii="Open Sans" w:hAnsi="Open Sans" w:eastAsia="Montserrat" w:cs="Open Sans"/>
        <w:b/>
        <w:color w:val="C00000"/>
      </w:rPr>
      <w:fldChar w:fldCharType="end"/>
    </w:r>
    <w:r w:rsidRPr="00FF3475">
      <w:rPr>
        <w:rFonts w:ascii="Open Sans" w:hAnsi="Open Sans" w:cs="Open Sans"/>
        <w:noProof/>
        <w:lang w:val="es-419" w:eastAsia="es-419"/>
      </w:rPr>
      <mc:AlternateContent>
        <mc:Choice Requires="wps">
          <w:drawing>
            <wp:anchor distT="0" distB="0" distL="0" distR="0" simplePos="0" relativeHeight="251661312" behindDoc="1" locked="0" layoutInCell="1" hidden="0" allowOverlap="1" wp14:anchorId="0BB5FBC9" wp14:editId="5F88F8F4">
              <wp:simplePos x="0" y="0"/>
              <wp:positionH relativeFrom="column">
                <wp:posOffset>-1876424</wp:posOffset>
              </wp:positionH>
              <wp:positionV relativeFrom="paragraph">
                <wp:posOffset>160020</wp:posOffset>
              </wp:positionV>
              <wp:extent cx="6600825" cy="704850"/>
              <wp:effectExtent l="0" t="0" r="9525" b="0"/>
              <wp:wrapNone/>
              <wp:docPr id="2" name="Rectángulo 2"/>
              <wp:cNvGraphicFramePr/>
              <a:graphic xmlns:a="http://schemas.openxmlformats.org/drawingml/2006/main">
                <a:graphicData uri="http://schemas.microsoft.com/office/word/2010/wordprocessingShape">
                  <wps:wsp>
                    <wps:cNvSpPr/>
                    <wps:spPr>
                      <a:xfrm>
                        <a:off x="0" y="0"/>
                        <a:ext cx="6600825" cy="704850"/>
                      </a:xfrm>
                      <a:prstGeom prst="rect">
                        <a:avLst/>
                      </a:prstGeom>
                      <a:solidFill>
                        <a:srgbClr val="DB00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0" distR="0" simplePos="0" relativeHeight="0" behindDoc="1" locked="0" layoutInCell="1" hidden="0" allowOverlap="1" wp14:anchorId="4A29BDC7" wp14:editId="7777777">
              <wp:simplePos x="0" y="0"/>
              <wp:positionH relativeFrom="column">
                <wp:posOffset>-1876424</wp:posOffset>
              </wp:positionH>
              <wp:positionV relativeFrom="paragraph">
                <wp:posOffset>160020</wp:posOffset>
              </wp:positionV>
              <wp:extent cx="6610350" cy="704850"/>
              <wp:effectExtent l="0" t="0" r="0" b="0"/>
              <wp:wrapNone/>
              <wp:docPr id="1736343439" name="image3.png"/>
              <a:graphic>
                <a:graphicData uri="http://schemas.openxmlformats.org/drawingml/2006/picture">
                  <pic:pic>
                    <pic:nvPicPr>
                      <pic:cNvPr id="0" name="image3.png"/>
                      <pic:cNvPicPr preferRelativeResize="0"/>
                    </pic:nvPicPr>
                    <pic:blipFill>
                      <a:blip r:embed="rId1"/>
                      <a:srcRect l="0" t="0" r="0" b="0"/>
                      <a:stretch>
                        <a:fillRect/>
                      </a:stretch>
                    </pic:blipFill>
                    <pic:spPr>
                      <a:xfrm>
                        <a:off x="0" y="0"/>
                        <a:ext cx="6610350" cy="704850"/>
                      </a:xfrm>
                      <a:prstGeom prst="rect"/>
                      <a:ln/>
                    </pic:spPr>
                  </pic:pic>
                </a:graphicData>
              </a:graphic>
            </wp:anchor>
          </w:drawing>
        </mc:Fallback>
      </mc:AlternateContent>
    </w:r>
    <w:r w:rsidRPr="00FF3475">
      <w:rPr>
        <w:rFonts w:ascii="Open Sans" w:hAnsi="Open Sans" w:cs="Open Sans"/>
        <w:noProof/>
        <w:lang w:val="es-419" w:eastAsia="es-419"/>
      </w:rPr>
      <w:drawing>
        <wp:anchor distT="0" distB="0" distL="0" distR="0" simplePos="0" relativeHeight="251662336" behindDoc="1" locked="0" layoutInCell="1" hidden="0" allowOverlap="1" wp14:anchorId="24C3858E" wp14:editId="7BE7550D">
          <wp:simplePos x="0" y="0"/>
          <wp:positionH relativeFrom="column">
            <wp:posOffset>57150</wp:posOffset>
          </wp:positionH>
          <wp:positionV relativeFrom="paragraph">
            <wp:posOffset>360045</wp:posOffset>
          </wp:positionV>
          <wp:extent cx="4381500" cy="259644"/>
          <wp:effectExtent l="0" t="0" r="0" b="0"/>
          <wp:wrapNone/>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
                  <a:srcRect/>
                  <a:stretch>
                    <a:fillRect/>
                  </a:stretch>
                </pic:blipFill>
                <pic:spPr>
                  <a:xfrm>
                    <a:off x="0" y="0"/>
                    <a:ext cx="4381500" cy="259644"/>
                  </a:xfrm>
                  <a:prstGeom prst="rect">
                    <a:avLst/>
                  </a:prstGeom>
                  <a:ln/>
                </pic:spPr>
              </pic:pic>
            </a:graphicData>
          </a:graphic>
        </wp:anchor>
      </w:drawing>
    </w:r>
    <w:r w:rsidRPr="00FF3475">
      <w:rPr>
        <w:rFonts w:ascii="Open Sans" w:hAnsi="Open Sans" w:cs="Open Sans"/>
        <w:noProof/>
        <w:lang w:val="es-419" w:eastAsia="es-419"/>
      </w:rPr>
      <w:drawing>
        <wp:anchor distT="0" distB="0" distL="0" distR="0" simplePos="0" relativeHeight="251663360" behindDoc="1" locked="0" layoutInCell="1" hidden="0" allowOverlap="1" wp14:anchorId="74B6C3F6" wp14:editId="2288B878">
          <wp:simplePos x="0" y="0"/>
          <wp:positionH relativeFrom="column">
            <wp:posOffset>-3009899</wp:posOffset>
          </wp:positionH>
          <wp:positionV relativeFrom="paragraph">
            <wp:posOffset>-953769</wp:posOffset>
          </wp:positionV>
          <wp:extent cx="3238500" cy="2857077"/>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3238500" cy="285707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77CBB" w:rsidRDefault="00F77CBB" w14:paraId="5D290E22" w14:textId="77777777">
      <w:pPr>
        <w:spacing w:after="0" w:line="240" w:lineRule="auto"/>
      </w:pPr>
      <w:r>
        <w:separator/>
      </w:r>
    </w:p>
  </w:footnote>
  <w:footnote w:type="continuationSeparator" w:id="0">
    <w:p w:rsidR="00F77CBB" w:rsidRDefault="00F77CBB" w14:paraId="0275C1B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203170" w:rsidR="00EB67EE" w:rsidP="00203170" w:rsidRDefault="00203170" w14:paraId="6FE380E3" w14:textId="0C90D586">
    <w:pPr>
      <w:pBdr>
        <w:bottom w:val="single" w:color="7F7F7F" w:themeColor="text1" w:themeTint="80" w:sz="8" w:space="1"/>
      </w:pBdr>
      <w:jc w:val="both"/>
      <w:rPr>
        <w:rFonts w:ascii="Open Sans" w:hAnsi="Open Sans" w:eastAsia="Open Sans" w:cs="Open Sans"/>
        <w:b/>
        <w:color w:val="808080" w:themeColor="background1" w:themeShade="80"/>
        <w:sz w:val="20"/>
        <w:szCs w:val="20"/>
      </w:rPr>
    </w:pPr>
    <w:r w:rsidRPr="001F08F5">
      <w:rPr>
        <w:rFonts w:ascii="Open Sans" w:hAnsi="Open Sans" w:eastAsia="Open Sans" w:cs="Open Sans"/>
        <w:b/>
        <w:color w:val="808080" w:themeColor="background1" w:themeShade="80"/>
        <w:sz w:val="20"/>
        <w:szCs w:val="20"/>
      </w:rPr>
      <w:t>INFORME DE POLÍTICAS PÚBLICAS</w:t>
    </w:r>
    <w:r w:rsidRPr="001F08F5">
      <w:rPr>
        <w:noProof/>
        <w:sz w:val="20"/>
        <w:szCs w:val="20"/>
        <w:lang w:val="es-419" w:eastAsia="es-419"/>
      </w:rPr>
      <mc:AlternateContent>
        <mc:Choice Requires="wps">
          <w:drawing>
            <wp:anchor distT="0" distB="0" distL="114300" distR="114300" simplePos="0" relativeHeight="251665408" behindDoc="0" locked="0" layoutInCell="1" hidden="0" allowOverlap="1" wp14:anchorId="274EEB37" wp14:editId="19A256E7">
              <wp:simplePos x="0" y="0"/>
              <wp:positionH relativeFrom="column">
                <wp:posOffset>-1390649</wp:posOffset>
              </wp:positionH>
              <wp:positionV relativeFrom="paragraph">
                <wp:posOffset>-457199</wp:posOffset>
              </wp:positionV>
              <wp:extent cx="826135" cy="915035"/>
              <wp:effectExtent l="0" t="0" r="0" b="0"/>
              <wp:wrapNone/>
              <wp:docPr id="13" name="Rectángulo 13"/>
              <wp:cNvGraphicFramePr/>
              <a:graphic xmlns:a="http://schemas.openxmlformats.org/drawingml/2006/main">
                <a:graphicData uri="http://schemas.microsoft.com/office/word/2010/wordprocessingShape">
                  <wps:wsp>
                    <wps:cNvSpPr/>
                    <wps:spPr>
                      <a:xfrm>
                        <a:off x="0" y="0"/>
                        <a:ext cx="826135" cy="915035"/>
                      </a:xfrm>
                      <a:prstGeom prst="rect">
                        <a:avLst/>
                      </a:prstGeom>
                      <a:solidFill>
                        <a:srgbClr val="DB00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70EAC97">
            <v:rect id="Rectángulo 13" style="position:absolute;margin-left:-109.5pt;margin-top:-36pt;width:65.05pt;height:72.05pt;z-index:25166540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db0032" stroked="f" strokeweight="2pt" w14:anchorId="0BEB9CC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"/>
          </w:pict>
        </mc:Fallback>
      </mc:AlternateContent>
    </w:r>
    <w:r w:rsidRPr="001F08F5">
      <w:rPr>
        <w:noProof/>
        <w:sz w:val="20"/>
        <w:szCs w:val="20"/>
        <w:lang w:val="es-419" w:eastAsia="es-419"/>
      </w:rPr>
      <w:drawing>
        <wp:anchor distT="0" distB="0" distL="114300" distR="114300" simplePos="0" relativeHeight="251666432" behindDoc="0" locked="0" layoutInCell="1" hidden="0" allowOverlap="1" wp14:anchorId="03EC9F0F" wp14:editId="279EAC56">
          <wp:simplePos x="0" y="0"/>
          <wp:positionH relativeFrom="column">
            <wp:posOffset>-1390650</wp:posOffset>
          </wp:positionH>
          <wp:positionV relativeFrom="paragraph">
            <wp:posOffset>-304799</wp:posOffset>
          </wp:positionV>
          <wp:extent cx="827593" cy="729712"/>
          <wp:effectExtent l="0" t="0" r="0" b="0"/>
          <wp:wrapNone/>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827593" cy="729712"/>
                  </a:xfrm>
                  <a:prstGeom prst="rect">
                    <a:avLst/>
                  </a:prstGeom>
                  <a:ln/>
                </pic:spPr>
              </pic:pic>
            </a:graphicData>
          </a:graphic>
        </wp:anchor>
      </w:drawing>
    </w:r>
    <w:r w:rsidRPr="001F08F5">
      <w:rPr>
        <w:noProof/>
        <w:sz w:val="20"/>
        <w:szCs w:val="20"/>
        <w:lang w:val="es-419" w:eastAsia="es-419"/>
      </w:rPr>
      <w:drawing>
        <wp:anchor distT="0" distB="0" distL="114300" distR="114300" simplePos="0" relativeHeight="251667456" behindDoc="0" locked="0" layoutInCell="1" hidden="0" allowOverlap="1" wp14:anchorId="0D462754" wp14:editId="575F6AF3">
          <wp:simplePos x="0" y="0"/>
          <wp:positionH relativeFrom="column">
            <wp:posOffset>-1390649</wp:posOffset>
          </wp:positionH>
          <wp:positionV relativeFrom="paragraph">
            <wp:posOffset>771525</wp:posOffset>
          </wp:positionV>
          <wp:extent cx="848360" cy="342900"/>
          <wp:effectExtent l="0" t="0" r="0" b="0"/>
          <wp:wrapSquare wrapText="bothSides" distT="0" distB="0" distL="114300" distR="114300"/>
          <wp:docPr id="15" name="image6.png" descr="Colaborá con Libertad y Progreso - Fundación Libertad Y Progreso"/>
          <wp:cNvGraphicFramePr/>
          <a:graphic xmlns:a="http://schemas.openxmlformats.org/drawingml/2006/main">
            <a:graphicData uri="http://schemas.openxmlformats.org/drawingml/2006/picture">
              <pic:pic xmlns:pic="http://schemas.openxmlformats.org/drawingml/2006/picture">
                <pic:nvPicPr>
                  <pic:cNvPr id="0" name="image6.png" descr="Colaborá con Libertad y Progreso - Fundación Libertad Y Progreso"/>
                  <pic:cNvPicPr preferRelativeResize="0"/>
                </pic:nvPicPr>
                <pic:blipFill>
                  <a:blip r:embed="rId2"/>
                  <a:srcRect l="25959" t="24303" r="7277" b="6831"/>
                  <a:stretch>
                    <a:fillRect/>
                  </a:stretch>
                </pic:blipFill>
                <pic:spPr>
                  <a:xfrm>
                    <a:off x="0" y="0"/>
                    <a:ext cx="848360" cy="342900"/>
                  </a:xfrm>
                  <a:prstGeom prst="rect">
                    <a:avLst/>
                  </a:prstGeom>
                  <a:ln/>
                </pic:spPr>
              </pic:pic>
            </a:graphicData>
          </a:graphic>
        </wp:anchor>
      </w:drawing>
    </w:r>
    <w:r w:rsidRPr="001F08F5">
      <w:rPr>
        <w:rFonts w:ascii="Open Sans" w:hAnsi="Open Sans" w:eastAsia="Open Sans" w:cs="Open Sans"/>
        <w:b/>
        <w:color w:val="808080" w:themeColor="background1" w:themeShade="80"/>
        <w:sz w:val="20"/>
        <w:szCs w:val="20"/>
      </w:rPr>
      <w:tab/>
    </w:r>
    <w:r w:rsidRPr="001F08F5">
      <w:rPr>
        <w:rFonts w:ascii="Open Sans" w:hAnsi="Open Sans" w:eastAsia="Open Sans" w:cs="Open Sans"/>
        <w:b/>
        <w:color w:val="808080" w:themeColor="background1" w:themeShade="80"/>
        <w:sz w:val="20"/>
        <w:szCs w:val="20"/>
      </w:rPr>
      <w:tab/>
    </w:r>
    <w:r w:rsidR="009B3EA8">
      <w:rPr>
        <w:rFonts w:ascii="Open Sans" w:hAnsi="Open Sans" w:eastAsia="Open Sans" w:cs="Open Sans"/>
        <w:b/>
        <w:color w:val="808080" w:themeColor="background1" w:themeShade="80"/>
        <w:sz w:val="20"/>
        <w:szCs w:val="20"/>
      </w:rPr>
      <w:tab/>
    </w:r>
    <w:r w:rsidR="009B3EA8">
      <w:rPr>
        <w:rFonts w:ascii="Open Sans" w:hAnsi="Open Sans" w:eastAsia="Open Sans" w:cs="Open Sans"/>
        <w:b/>
        <w:color w:val="808080" w:themeColor="background1" w:themeShade="80"/>
        <w:sz w:val="20"/>
        <w:szCs w:val="20"/>
      </w:rPr>
      <w:tab/>
    </w:r>
    <w:r w:rsidR="009B3EA8">
      <w:rPr>
        <w:rFonts w:ascii="Open Sans" w:hAnsi="Open Sans" w:eastAsia="Open Sans" w:cs="Open Sans"/>
        <w:b/>
        <w:color w:val="808080" w:themeColor="background1" w:themeShade="80"/>
        <w:sz w:val="20"/>
        <w:szCs w:val="20"/>
      </w:rPr>
      <w:t xml:space="preserve">         </w:t>
    </w:r>
    <w:r w:rsidR="0035502A">
      <w:rPr>
        <w:rFonts w:ascii="Open Sans" w:hAnsi="Open Sans" w:eastAsia="Open Sans" w:cs="Open Sans"/>
        <w:b/>
        <w:color w:val="808080" w:themeColor="background1" w:themeShade="80"/>
        <w:sz w:val="20"/>
        <w:szCs w:val="20"/>
      </w:rPr>
      <w:t>Junio</w:t>
    </w:r>
    <w:r w:rsidRPr="001F08F5">
      <w:rPr>
        <w:rFonts w:ascii="Open Sans" w:hAnsi="Open Sans" w:eastAsia="Open Sans" w:cs="Open Sans"/>
        <w:b/>
        <w:color w:val="808080" w:themeColor="background1" w:themeShade="80"/>
        <w:sz w:val="20"/>
        <w:szCs w:val="20"/>
      </w:rPr>
      <w:t xml:space="preserve"> 202</w:t>
    </w:r>
    <w:r w:rsidR="009D36B3">
      <w:rPr>
        <w:noProof/>
        <w:lang w:val="es-419" w:eastAsia="es-419"/>
      </w:rPr>
      <mc:AlternateContent>
        <mc:Choice Requires="wps">
          <w:drawing>
            <wp:anchor distT="0" distB="0" distL="114300" distR="114300" simplePos="0" relativeHeight="251658240" behindDoc="0" locked="0" layoutInCell="1" hidden="0" allowOverlap="1" wp14:anchorId="5FFD0720" wp14:editId="0907423A">
              <wp:simplePos x="0" y="0"/>
              <wp:positionH relativeFrom="column">
                <wp:posOffset>-1390649</wp:posOffset>
              </wp:positionH>
              <wp:positionV relativeFrom="paragraph">
                <wp:posOffset>-457199</wp:posOffset>
              </wp:positionV>
              <wp:extent cx="826135" cy="915035"/>
              <wp:effectExtent l="0" t="0" r="0" b="0"/>
              <wp:wrapNone/>
              <wp:docPr id="1" name="Rectángulo 1"/>
              <wp:cNvGraphicFramePr/>
              <a:graphic xmlns:a="http://schemas.openxmlformats.org/drawingml/2006/main">
                <a:graphicData uri="http://schemas.microsoft.com/office/word/2010/wordprocessingShape">
                  <wps:wsp>
                    <wps:cNvSpPr/>
                    <wps:spPr>
                      <a:xfrm>
                        <a:off x="0" y="0"/>
                        <a:ext cx="826135" cy="915035"/>
                      </a:xfrm>
                      <a:prstGeom prst="rect">
                        <a:avLst/>
                      </a:prstGeom>
                      <a:solidFill>
                        <a:srgbClr val="DB00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7304A1F4" wp14:editId="7777777">
              <wp:simplePos x="0" y="0"/>
              <wp:positionH relativeFrom="column">
                <wp:posOffset>-1390649</wp:posOffset>
              </wp:positionH>
              <wp:positionV relativeFrom="paragraph">
                <wp:posOffset>-457199</wp:posOffset>
              </wp:positionV>
              <wp:extent cx="826135" cy="915035"/>
              <wp:effectExtent l="0" t="0" r="0" b="0"/>
              <wp:wrapNone/>
              <wp:docPr id="904280951" name="image2.png"/>
              <a:graphic>
                <a:graphicData uri="http://schemas.openxmlformats.org/drawingml/2006/picture">
                  <pic:pic>
                    <pic:nvPicPr>
                      <pic:cNvPr id="0" name="image2.png"/>
                      <pic:cNvPicPr preferRelativeResize="0"/>
                    </pic:nvPicPr>
                    <pic:blipFill>
                      <a:blip r:embed="rId3"/>
                      <a:srcRect l="0" t="0" r="0" b="0"/>
                      <a:stretch>
                        <a:fillRect/>
                      </a:stretch>
                    </pic:blipFill>
                    <pic:spPr>
                      <a:xfrm>
                        <a:off x="0" y="0"/>
                        <a:ext cx="826135" cy="915035"/>
                      </a:xfrm>
                      <a:prstGeom prst="rect"/>
                      <a:ln/>
                    </pic:spPr>
                  </pic:pic>
                </a:graphicData>
              </a:graphic>
            </wp:anchor>
          </w:drawing>
        </mc:Fallback>
      </mc:AlternateContent>
    </w:r>
    <w:r w:rsidR="009D36B3">
      <w:rPr>
        <w:noProof/>
        <w:lang w:val="es-419" w:eastAsia="es-419"/>
      </w:rPr>
      <w:drawing>
        <wp:anchor distT="0" distB="0" distL="114300" distR="114300" simplePos="0" relativeHeight="251659264" behindDoc="0" locked="0" layoutInCell="1" hidden="0" allowOverlap="1" wp14:anchorId="76845840" wp14:editId="4E3A7D65">
          <wp:simplePos x="0" y="0"/>
          <wp:positionH relativeFrom="column">
            <wp:posOffset>-1390650</wp:posOffset>
          </wp:positionH>
          <wp:positionV relativeFrom="paragraph">
            <wp:posOffset>-304799</wp:posOffset>
          </wp:positionV>
          <wp:extent cx="827593" cy="729712"/>
          <wp:effectExtent l="0" t="0" r="0" b="0"/>
          <wp:wrapNone/>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827593" cy="729712"/>
                  </a:xfrm>
                  <a:prstGeom prst="rect">
                    <a:avLst/>
                  </a:prstGeom>
                  <a:ln/>
                </pic:spPr>
              </pic:pic>
            </a:graphicData>
          </a:graphic>
        </wp:anchor>
      </w:drawing>
    </w:r>
    <w:r w:rsidR="009D36B3">
      <w:rPr>
        <w:noProof/>
        <w:lang w:val="es-419" w:eastAsia="es-419"/>
      </w:rPr>
      <w:drawing>
        <wp:anchor distT="0" distB="0" distL="114300" distR="114300" simplePos="0" relativeHeight="251660288" behindDoc="0" locked="0" layoutInCell="1" hidden="0" allowOverlap="1" wp14:anchorId="34E96621" wp14:editId="78FFE30A">
          <wp:simplePos x="0" y="0"/>
          <wp:positionH relativeFrom="column">
            <wp:posOffset>-1390649</wp:posOffset>
          </wp:positionH>
          <wp:positionV relativeFrom="paragraph">
            <wp:posOffset>771525</wp:posOffset>
          </wp:positionV>
          <wp:extent cx="848360" cy="342900"/>
          <wp:effectExtent l="0" t="0" r="0" b="0"/>
          <wp:wrapSquare wrapText="bothSides" distT="0" distB="0" distL="114300" distR="114300"/>
          <wp:docPr id="6" name="image6.png" descr="Colaborá con Libertad y Progreso - Fundación Libertad Y Progreso"/>
          <wp:cNvGraphicFramePr/>
          <a:graphic xmlns:a="http://schemas.openxmlformats.org/drawingml/2006/main">
            <a:graphicData uri="http://schemas.openxmlformats.org/drawingml/2006/picture">
              <pic:pic xmlns:pic="http://schemas.openxmlformats.org/drawingml/2006/picture">
                <pic:nvPicPr>
                  <pic:cNvPr id="0" name="image6.png" descr="Colaborá con Libertad y Progreso - Fundación Libertad Y Progreso"/>
                  <pic:cNvPicPr preferRelativeResize="0"/>
                </pic:nvPicPr>
                <pic:blipFill>
                  <a:blip r:embed="rId2"/>
                  <a:srcRect l="25959" t="24303" r="7277" b="6831"/>
                  <a:stretch>
                    <a:fillRect/>
                  </a:stretch>
                </pic:blipFill>
                <pic:spPr>
                  <a:xfrm>
                    <a:off x="0" y="0"/>
                    <a:ext cx="848360" cy="342900"/>
                  </a:xfrm>
                  <a:prstGeom prst="rect">
                    <a:avLst/>
                  </a:prstGeom>
                  <a:ln/>
                </pic:spPr>
              </pic:pic>
            </a:graphicData>
          </a:graphic>
        </wp:anchor>
      </w:drawing>
    </w:r>
    <w:r w:rsidR="00810E02">
      <w:rPr>
        <w:rFonts w:ascii="Open Sans" w:hAnsi="Open Sans" w:eastAsia="Open Sans" w:cs="Open Sans"/>
        <w:b/>
        <w:color w:val="808080" w:themeColor="background1" w:themeShade="80"/>
        <w:sz w:val="20"/>
        <w:szCs w:val="20"/>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77AEA"/>
    <w:multiLevelType w:val="hybridMultilevel"/>
    <w:tmpl w:val="8A1848D6"/>
    <w:lvl w:ilvl="0" w:tplc="580A0001">
      <w:start w:val="1"/>
      <w:numFmt w:val="bullet"/>
      <w:lvlText w:val=""/>
      <w:lvlJc w:val="left"/>
      <w:pPr>
        <w:ind w:left="2421" w:hanging="360"/>
      </w:pPr>
      <w:rPr>
        <w:rFonts w:hint="default" w:ascii="Symbol" w:hAnsi="Symbol"/>
      </w:rPr>
    </w:lvl>
    <w:lvl w:ilvl="1" w:tplc="580A0003" w:tentative="1">
      <w:start w:val="1"/>
      <w:numFmt w:val="bullet"/>
      <w:lvlText w:val="o"/>
      <w:lvlJc w:val="left"/>
      <w:pPr>
        <w:ind w:left="3141" w:hanging="360"/>
      </w:pPr>
      <w:rPr>
        <w:rFonts w:hint="default" w:ascii="Courier New" w:hAnsi="Courier New" w:cs="Courier New"/>
      </w:rPr>
    </w:lvl>
    <w:lvl w:ilvl="2" w:tplc="580A0005" w:tentative="1">
      <w:start w:val="1"/>
      <w:numFmt w:val="bullet"/>
      <w:lvlText w:val=""/>
      <w:lvlJc w:val="left"/>
      <w:pPr>
        <w:ind w:left="3861" w:hanging="360"/>
      </w:pPr>
      <w:rPr>
        <w:rFonts w:hint="default" w:ascii="Wingdings" w:hAnsi="Wingdings"/>
      </w:rPr>
    </w:lvl>
    <w:lvl w:ilvl="3" w:tplc="580A0001" w:tentative="1">
      <w:start w:val="1"/>
      <w:numFmt w:val="bullet"/>
      <w:lvlText w:val=""/>
      <w:lvlJc w:val="left"/>
      <w:pPr>
        <w:ind w:left="4581" w:hanging="360"/>
      </w:pPr>
      <w:rPr>
        <w:rFonts w:hint="default" w:ascii="Symbol" w:hAnsi="Symbol"/>
      </w:rPr>
    </w:lvl>
    <w:lvl w:ilvl="4" w:tplc="580A0003" w:tentative="1">
      <w:start w:val="1"/>
      <w:numFmt w:val="bullet"/>
      <w:lvlText w:val="o"/>
      <w:lvlJc w:val="left"/>
      <w:pPr>
        <w:ind w:left="5301" w:hanging="360"/>
      </w:pPr>
      <w:rPr>
        <w:rFonts w:hint="default" w:ascii="Courier New" w:hAnsi="Courier New" w:cs="Courier New"/>
      </w:rPr>
    </w:lvl>
    <w:lvl w:ilvl="5" w:tplc="580A0005" w:tentative="1">
      <w:start w:val="1"/>
      <w:numFmt w:val="bullet"/>
      <w:lvlText w:val=""/>
      <w:lvlJc w:val="left"/>
      <w:pPr>
        <w:ind w:left="6021" w:hanging="360"/>
      </w:pPr>
      <w:rPr>
        <w:rFonts w:hint="default" w:ascii="Wingdings" w:hAnsi="Wingdings"/>
      </w:rPr>
    </w:lvl>
    <w:lvl w:ilvl="6" w:tplc="580A0001" w:tentative="1">
      <w:start w:val="1"/>
      <w:numFmt w:val="bullet"/>
      <w:lvlText w:val=""/>
      <w:lvlJc w:val="left"/>
      <w:pPr>
        <w:ind w:left="6741" w:hanging="360"/>
      </w:pPr>
      <w:rPr>
        <w:rFonts w:hint="default" w:ascii="Symbol" w:hAnsi="Symbol"/>
      </w:rPr>
    </w:lvl>
    <w:lvl w:ilvl="7" w:tplc="580A0003" w:tentative="1">
      <w:start w:val="1"/>
      <w:numFmt w:val="bullet"/>
      <w:lvlText w:val="o"/>
      <w:lvlJc w:val="left"/>
      <w:pPr>
        <w:ind w:left="7461" w:hanging="360"/>
      </w:pPr>
      <w:rPr>
        <w:rFonts w:hint="default" w:ascii="Courier New" w:hAnsi="Courier New" w:cs="Courier New"/>
      </w:rPr>
    </w:lvl>
    <w:lvl w:ilvl="8" w:tplc="580A0005" w:tentative="1">
      <w:start w:val="1"/>
      <w:numFmt w:val="bullet"/>
      <w:lvlText w:val=""/>
      <w:lvlJc w:val="left"/>
      <w:pPr>
        <w:ind w:left="8181" w:hanging="360"/>
      </w:pPr>
      <w:rPr>
        <w:rFonts w:hint="default" w:ascii="Wingdings" w:hAnsi="Wingdings"/>
      </w:rPr>
    </w:lvl>
  </w:abstractNum>
  <w:abstractNum w:abstractNumId="1" w15:restartNumberingAfterBreak="0">
    <w:nsid w:val="14484313"/>
    <w:multiLevelType w:val="hybridMultilevel"/>
    <w:tmpl w:val="052E1770"/>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num w:numId="1" w16cid:durableId="1933315621">
    <w:abstractNumId w:val="0"/>
  </w:num>
  <w:num w:numId="2" w16cid:durableId="3520293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7EE"/>
    <w:rsid w:val="0000752D"/>
    <w:rsid w:val="0004018B"/>
    <w:rsid w:val="00055F43"/>
    <w:rsid w:val="000A20E3"/>
    <w:rsid w:val="000B7F2B"/>
    <w:rsid w:val="000C1ED9"/>
    <w:rsid w:val="000D51FA"/>
    <w:rsid w:val="000E12DE"/>
    <w:rsid w:val="000E627A"/>
    <w:rsid w:val="000F2E96"/>
    <w:rsid w:val="001037BA"/>
    <w:rsid w:val="00103C02"/>
    <w:rsid w:val="00135212"/>
    <w:rsid w:val="001472AF"/>
    <w:rsid w:val="00163E83"/>
    <w:rsid w:val="00187188"/>
    <w:rsid w:val="00191068"/>
    <w:rsid w:val="001B1201"/>
    <w:rsid w:val="001B5BBD"/>
    <w:rsid w:val="001B7C74"/>
    <w:rsid w:val="001D5AE1"/>
    <w:rsid w:val="001F510D"/>
    <w:rsid w:val="001F55AF"/>
    <w:rsid w:val="001F60CF"/>
    <w:rsid w:val="001F6740"/>
    <w:rsid w:val="00203170"/>
    <w:rsid w:val="00203E17"/>
    <w:rsid w:val="00210474"/>
    <w:rsid w:val="00226B46"/>
    <w:rsid w:val="00227578"/>
    <w:rsid w:val="00234E37"/>
    <w:rsid w:val="002378BC"/>
    <w:rsid w:val="00244C6B"/>
    <w:rsid w:val="002502A3"/>
    <w:rsid w:val="00254EE9"/>
    <w:rsid w:val="002643B5"/>
    <w:rsid w:val="00287C91"/>
    <w:rsid w:val="00297862"/>
    <w:rsid w:val="002A69D7"/>
    <w:rsid w:val="002A7DE5"/>
    <w:rsid w:val="002B5899"/>
    <w:rsid w:val="002C38B0"/>
    <w:rsid w:val="00301B78"/>
    <w:rsid w:val="00301F5B"/>
    <w:rsid w:val="0030498B"/>
    <w:rsid w:val="00310654"/>
    <w:rsid w:val="0031336F"/>
    <w:rsid w:val="00313C81"/>
    <w:rsid w:val="00316C68"/>
    <w:rsid w:val="00342D98"/>
    <w:rsid w:val="00347338"/>
    <w:rsid w:val="0035502A"/>
    <w:rsid w:val="00355147"/>
    <w:rsid w:val="00360C33"/>
    <w:rsid w:val="00377F02"/>
    <w:rsid w:val="00387088"/>
    <w:rsid w:val="00394D56"/>
    <w:rsid w:val="00396BD4"/>
    <w:rsid w:val="003A09DC"/>
    <w:rsid w:val="003A3D4B"/>
    <w:rsid w:val="003B13D1"/>
    <w:rsid w:val="003E5A50"/>
    <w:rsid w:val="003F0501"/>
    <w:rsid w:val="004058FE"/>
    <w:rsid w:val="004262D8"/>
    <w:rsid w:val="0042750F"/>
    <w:rsid w:val="00447B8B"/>
    <w:rsid w:val="00451CBE"/>
    <w:rsid w:val="0046174B"/>
    <w:rsid w:val="00463066"/>
    <w:rsid w:val="0046622E"/>
    <w:rsid w:val="00487304"/>
    <w:rsid w:val="004B753A"/>
    <w:rsid w:val="004C139B"/>
    <w:rsid w:val="004C74B5"/>
    <w:rsid w:val="004D190E"/>
    <w:rsid w:val="004D6B65"/>
    <w:rsid w:val="004D7806"/>
    <w:rsid w:val="00542027"/>
    <w:rsid w:val="005565BE"/>
    <w:rsid w:val="00560604"/>
    <w:rsid w:val="00565DFF"/>
    <w:rsid w:val="005705EB"/>
    <w:rsid w:val="0058153D"/>
    <w:rsid w:val="00581E79"/>
    <w:rsid w:val="0058325B"/>
    <w:rsid w:val="005B59F3"/>
    <w:rsid w:val="005F02A6"/>
    <w:rsid w:val="005F39F2"/>
    <w:rsid w:val="00614375"/>
    <w:rsid w:val="0065066B"/>
    <w:rsid w:val="00653E60"/>
    <w:rsid w:val="0066060A"/>
    <w:rsid w:val="006A7DBD"/>
    <w:rsid w:val="006B2BA8"/>
    <w:rsid w:val="006B6313"/>
    <w:rsid w:val="006B6F30"/>
    <w:rsid w:val="006C0527"/>
    <w:rsid w:val="006D67CE"/>
    <w:rsid w:val="00712256"/>
    <w:rsid w:val="007200EB"/>
    <w:rsid w:val="00781588"/>
    <w:rsid w:val="00784400"/>
    <w:rsid w:val="0079022C"/>
    <w:rsid w:val="00790A7E"/>
    <w:rsid w:val="007974F0"/>
    <w:rsid w:val="007B1D59"/>
    <w:rsid w:val="007E720C"/>
    <w:rsid w:val="007F0FF9"/>
    <w:rsid w:val="00807A60"/>
    <w:rsid w:val="00810E02"/>
    <w:rsid w:val="00826252"/>
    <w:rsid w:val="008351B2"/>
    <w:rsid w:val="008421F1"/>
    <w:rsid w:val="00842C6C"/>
    <w:rsid w:val="0085000F"/>
    <w:rsid w:val="00851002"/>
    <w:rsid w:val="00866B2B"/>
    <w:rsid w:val="00873D76"/>
    <w:rsid w:val="00885224"/>
    <w:rsid w:val="008908CA"/>
    <w:rsid w:val="00891D64"/>
    <w:rsid w:val="008A3E6D"/>
    <w:rsid w:val="008B3574"/>
    <w:rsid w:val="008B5D75"/>
    <w:rsid w:val="008B763B"/>
    <w:rsid w:val="008F36C3"/>
    <w:rsid w:val="009043D6"/>
    <w:rsid w:val="009078BD"/>
    <w:rsid w:val="0092318B"/>
    <w:rsid w:val="00930944"/>
    <w:rsid w:val="0095138C"/>
    <w:rsid w:val="00962CF7"/>
    <w:rsid w:val="009658BB"/>
    <w:rsid w:val="00971E54"/>
    <w:rsid w:val="009B3EA8"/>
    <w:rsid w:val="009B51E2"/>
    <w:rsid w:val="009C432F"/>
    <w:rsid w:val="009D36B3"/>
    <w:rsid w:val="00A05D49"/>
    <w:rsid w:val="00A53109"/>
    <w:rsid w:val="00A57867"/>
    <w:rsid w:val="00AC6393"/>
    <w:rsid w:val="00AD0207"/>
    <w:rsid w:val="00AD1554"/>
    <w:rsid w:val="00AE5070"/>
    <w:rsid w:val="00AE5CEE"/>
    <w:rsid w:val="00B117F0"/>
    <w:rsid w:val="00B16FC3"/>
    <w:rsid w:val="00B37EA2"/>
    <w:rsid w:val="00B63C10"/>
    <w:rsid w:val="00B66016"/>
    <w:rsid w:val="00B81215"/>
    <w:rsid w:val="00BA462B"/>
    <w:rsid w:val="00BA57FA"/>
    <w:rsid w:val="00BC36C7"/>
    <w:rsid w:val="00BD1CAE"/>
    <w:rsid w:val="00BD1DB3"/>
    <w:rsid w:val="00BE242E"/>
    <w:rsid w:val="00C17C59"/>
    <w:rsid w:val="00C208BB"/>
    <w:rsid w:val="00C460E7"/>
    <w:rsid w:val="00C50EE6"/>
    <w:rsid w:val="00C6032B"/>
    <w:rsid w:val="00C60FED"/>
    <w:rsid w:val="00C6380B"/>
    <w:rsid w:val="00C8070D"/>
    <w:rsid w:val="00CA48FD"/>
    <w:rsid w:val="00CA720F"/>
    <w:rsid w:val="00CB3634"/>
    <w:rsid w:val="00CD496B"/>
    <w:rsid w:val="00CD6E0F"/>
    <w:rsid w:val="00CE0881"/>
    <w:rsid w:val="00CE0EFF"/>
    <w:rsid w:val="00CE145E"/>
    <w:rsid w:val="00D238F6"/>
    <w:rsid w:val="00D24284"/>
    <w:rsid w:val="00D57E00"/>
    <w:rsid w:val="00D71056"/>
    <w:rsid w:val="00D76C53"/>
    <w:rsid w:val="00D806F2"/>
    <w:rsid w:val="00DC1563"/>
    <w:rsid w:val="00DE312D"/>
    <w:rsid w:val="00DF7D0B"/>
    <w:rsid w:val="00E064BC"/>
    <w:rsid w:val="00E07379"/>
    <w:rsid w:val="00E40092"/>
    <w:rsid w:val="00E41014"/>
    <w:rsid w:val="00E42106"/>
    <w:rsid w:val="00E53818"/>
    <w:rsid w:val="00E57957"/>
    <w:rsid w:val="00E92EDB"/>
    <w:rsid w:val="00EA029D"/>
    <w:rsid w:val="00EB67EE"/>
    <w:rsid w:val="00EC7D20"/>
    <w:rsid w:val="00EF1FEC"/>
    <w:rsid w:val="00F008B8"/>
    <w:rsid w:val="00F043EA"/>
    <w:rsid w:val="00F337FC"/>
    <w:rsid w:val="00F73F9F"/>
    <w:rsid w:val="00F77CBB"/>
    <w:rsid w:val="00F85134"/>
    <w:rsid w:val="00F91BB3"/>
    <w:rsid w:val="00FA3EC0"/>
    <w:rsid w:val="00FA3F93"/>
    <w:rsid w:val="00FA5AD4"/>
    <w:rsid w:val="00FB44D1"/>
    <w:rsid w:val="00FD319E"/>
    <w:rsid w:val="00FD39DB"/>
    <w:rsid w:val="00FE154F"/>
    <w:rsid w:val="00FE2A00"/>
    <w:rsid w:val="00FF3475"/>
    <w:rsid w:val="783E66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659A47"/>
  <w15:docId w15:val="{0593A561-8F4C-4F94-9096-DF66898790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hAnsi="Georgia" w:eastAsia="Georgia" w:cs="Georgia"/>
      <w:i/>
      <w:color w:val="666666"/>
      <w:sz w:val="48"/>
      <w:szCs w:val="48"/>
    </w:rPr>
  </w:style>
  <w:style w:type="paragraph" w:styleId="Encabezado">
    <w:name w:val="header"/>
    <w:basedOn w:val="Normal"/>
    <w:link w:val="EncabezadoCar"/>
    <w:uiPriority w:val="99"/>
    <w:unhideWhenUsed/>
    <w:rsid w:val="00FF3475"/>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FF3475"/>
  </w:style>
  <w:style w:type="paragraph" w:styleId="Piedepgina">
    <w:name w:val="footer"/>
    <w:basedOn w:val="Normal"/>
    <w:link w:val="PiedepginaCar"/>
    <w:uiPriority w:val="99"/>
    <w:unhideWhenUsed/>
    <w:rsid w:val="00FF3475"/>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FF3475"/>
  </w:style>
  <w:style w:type="paragraph" w:styleId="Prrafodelista">
    <w:name w:val="List Paragraph"/>
    <w:basedOn w:val="Normal"/>
    <w:uiPriority w:val="34"/>
    <w:qFormat/>
    <w:rsid w:val="002A69D7"/>
    <w:pPr>
      <w:ind w:left="720"/>
      <w:contextualSpacing/>
    </w:pPr>
    <w:rPr>
      <w:rFonts w:asciiTheme="minorHAnsi" w:hAnsiTheme="minorHAnsi" w:eastAsiaTheme="minorHAnsi" w:cstheme="minorBidi"/>
      <w:lang w:val="es-ES"/>
    </w:rPr>
  </w:style>
  <w:style w:type="paragraph" w:styleId="NormalWeb">
    <w:name w:val="Normal (Web)"/>
    <w:basedOn w:val="Normal"/>
    <w:uiPriority w:val="99"/>
    <w:unhideWhenUsed/>
    <w:rsid w:val="00360C33"/>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Refdecomentario">
    <w:name w:val="annotation reference"/>
    <w:basedOn w:val="Fuentedeprrafopredeter"/>
    <w:uiPriority w:val="99"/>
    <w:semiHidden/>
    <w:unhideWhenUsed/>
    <w:rsid w:val="00CE145E"/>
    <w:rPr>
      <w:sz w:val="16"/>
      <w:szCs w:val="16"/>
    </w:rPr>
  </w:style>
  <w:style w:type="paragraph" w:styleId="Textocomentario">
    <w:name w:val="annotation text"/>
    <w:basedOn w:val="Normal"/>
    <w:link w:val="TextocomentarioCar"/>
    <w:uiPriority w:val="99"/>
    <w:unhideWhenUsed/>
    <w:rsid w:val="00CE145E"/>
    <w:pPr>
      <w:spacing w:line="240" w:lineRule="auto"/>
    </w:pPr>
    <w:rPr>
      <w:sz w:val="20"/>
      <w:szCs w:val="20"/>
    </w:rPr>
  </w:style>
  <w:style w:type="character" w:styleId="TextocomentarioCar" w:customStyle="1">
    <w:name w:val="Texto comentario Car"/>
    <w:basedOn w:val="Fuentedeprrafopredeter"/>
    <w:link w:val="Textocomentario"/>
    <w:uiPriority w:val="99"/>
    <w:rsid w:val="00CE145E"/>
    <w:rPr>
      <w:sz w:val="20"/>
      <w:szCs w:val="20"/>
    </w:rPr>
  </w:style>
  <w:style w:type="paragraph" w:styleId="Asuntodelcomentario">
    <w:name w:val="annotation subject"/>
    <w:basedOn w:val="Textocomentario"/>
    <w:next w:val="Textocomentario"/>
    <w:link w:val="AsuntodelcomentarioCar"/>
    <w:uiPriority w:val="99"/>
    <w:semiHidden/>
    <w:unhideWhenUsed/>
    <w:rsid w:val="00CE145E"/>
    <w:rPr>
      <w:b/>
      <w:bCs/>
    </w:rPr>
  </w:style>
  <w:style w:type="character" w:styleId="AsuntodelcomentarioCar" w:customStyle="1">
    <w:name w:val="Asunto del comentario Car"/>
    <w:basedOn w:val="TextocomentarioCar"/>
    <w:link w:val="Asuntodelcomentario"/>
    <w:uiPriority w:val="99"/>
    <w:semiHidden/>
    <w:rsid w:val="00CE145E"/>
    <w:rPr>
      <w:b/>
      <w:bCs/>
      <w:sz w:val="20"/>
      <w:szCs w:val="20"/>
    </w:rPr>
  </w:style>
  <w:style w:type="paragraph" w:styleId="Revisin">
    <w:name w:val="Revision"/>
    <w:hidden/>
    <w:uiPriority w:val="99"/>
    <w:semiHidden/>
    <w:rsid w:val="004C139B"/>
    <w:pPr>
      <w:spacing w:after="0" w:line="240" w:lineRule="auto"/>
    </w:pPr>
  </w:style>
  <w:style w:type="paragraph" w:styleId="Textonotapie1" w:customStyle="1">
    <w:name w:val="Texto nota pie1"/>
    <w:basedOn w:val="Normal"/>
    <w:next w:val="Textonotapie"/>
    <w:link w:val="TextonotapieCar"/>
    <w:uiPriority w:val="99"/>
    <w:semiHidden/>
    <w:unhideWhenUsed/>
    <w:rsid w:val="00A53109"/>
    <w:pPr>
      <w:spacing w:after="0" w:line="240" w:lineRule="auto"/>
    </w:pPr>
    <w:rPr>
      <w:sz w:val="20"/>
      <w:szCs w:val="20"/>
    </w:rPr>
  </w:style>
  <w:style w:type="character" w:styleId="TextonotapieCar" w:customStyle="1">
    <w:name w:val="Texto nota pie Car"/>
    <w:basedOn w:val="Fuentedeprrafopredeter"/>
    <w:link w:val="Textonotapie1"/>
    <w:uiPriority w:val="99"/>
    <w:semiHidden/>
    <w:rsid w:val="00A53109"/>
    <w:rPr>
      <w:sz w:val="20"/>
      <w:szCs w:val="20"/>
    </w:rPr>
  </w:style>
  <w:style w:type="character" w:styleId="Refdenotaalpie">
    <w:name w:val="footnote reference"/>
    <w:basedOn w:val="Fuentedeprrafopredeter"/>
    <w:uiPriority w:val="99"/>
    <w:semiHidden/>
    <w:unhideWhenUsed/>
    <w:rsid w:val="00A53109"/>
    <w:rPr>
      <w:vertAlign w:val="superscript"/>
    </w:rPr>
  </w:style>
  <w:style w:type="character" w:styleId="Hipervnculo1" w:customStyle="1">
    <w:name w:val="Hipervínculo1"/>
    <w:basedOn w:val="Fuentedeprrafopredeter"/>
    <w:uiPriority w:val="99"/>
    <w:unhideWhenUsed/>
    <w:rsid w:val="00A53109"/>
    <w:rPr>
      <w:color w:val="0563C1"/>
      <w:u w:val="single"/>
    </w:rPr>
  </w:style>
  <w:style w:type="table" w:styleId="Tablaconcuadrcula1" w:customStyle="1">
    <w:name w:val="Tabla con cuadrícula1"/>
    <w:basedOn w:val="Tablanormal"/>
    <w:next w:val="Tablaconcuadrcula"/>
    <w:uiPriority w:val="39"/>
    <w:rsid w:val="00A53109"/>
    <w:pPr>
      <w:spacing w:after="0" w:line="240" w:lineRule="auto"/>
    </w:pPr>
    <w:rPr>
      <w:rFonts w:cs="Times New Roman"/>
      <w:kern w:val="2"/>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1"/>
    <w:uiPriority w:val="99"/>
    <w:semiHidden/>
    <w:unhideWhenUsed/>
    <w:rsid w:val="00A53109"/>
    <w:pPr>
      <w:spacing w:after="0" w:line="240" w:lineRule="auto"/>
    </w:pPr>
    <w:rPr>
      <w:sz w:val="20"/>
      <w:szCs w:val="20"/>
    </w:rPr>
  </w:style>
  <w:style w:type="character" w:styleId="TextonotapieCar1" w:customStyle="1">
    <w:name w:val="Texto nota pie Car1"/>
    <w:basedOn w:val="Fuentedeprrafopredeter"/>
    <w:link w:val="Textonotapie"/>
    <w:uiPriority w:val="99"/>
    <w:semiHidden/>
    <w:rsid w:val="00A53109"/>
    <w:rPr>
      <w:sz w:val="20"/>
      <w:szCs w:val="20"/>
    </w:rPr>
  </w:style>
  <w:style w:type="table" w:styleId="Tablaconcuadrcula">
    <w:name w:val="Table Grid"/>
    <w:basedOn w:val="Tablanormal"/>
    <w:uiPriority w:val="39"/>
    <w:rsid w:val="00A5310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vnculo">
    <w:name w:val="Hyperlink"/>
    <w:basedOn w:val="Fuentedeprrafopredeter"/>
    <w:uiPriority w:val="99"/>
    <w:unhideWhenUsed/>
    <w:rsid w:val="00394D56"/>
    <w:rPr>
      <w:color w:val="0000FF" w:themeColor="hyperlink"/>
      <w:u w:val="single"/>
    </w:rPr>
  </w:style>
  <w:style w:type="character" w:styleId="Mencinsinresolver">
    <w:name w:val="Unresolved Mention"/>
    <w:basedOn w:val="Fuentedeprrafopredeter"/>
    <w:uiPriority w:val="99"/>
    <w:semiHidden/>
    <w:unhideWhenUsed/>
    <w:rsid w:val="00394D56"/>
    <w:rPr>
      <w:color w:val="605E5C"/>
      <w:shd w:val="clear" w:color="auto" w:fill="E1DFDD"/>
    </w:rPr>
  </w:style>
  <w:style w:type="character" w:styleId="Hipervnculovisitado">
    <w:name w:val="FollowedHyperlink"/>
    <w:basedOn w:val="Fuentedeprrafopredeter"/>
    <w:uiPriority w:val="99"/>
    <w:semiHidden/>
    <w:unhideWhenUsed/>
    <w:rsid w:val="003F050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35922">
      <w:bodyDiv w:val="1"/>
      <w:marLeft w:val="0"/>
      <w:marRight w:val="0"/>
      <w:marTop w:val="0"/>
      <w:marBottom w:val="0"/>
      <w:divBdr>
        <w:top w:val="none" w:sz="0" w:space="0" w:color="auto"/>
        <w:left w:val="none" w:sz="0" w:space="0" w:color="auto"/>
        <w:bottom w:val="none" w:sz="0" w:space="0" w:color="auto"/>
        <w:right w:val="none" w:sz="0" w:space="0" w:color="auto"/>
      </w:divBdr>
    </w:div>
    <w:div w:id="1243760587">
      <w:bodyDiv w:val="1"/>
      <w:marLeft w:val="0"/>
      <w:marRight w:val="0"/>
      <w:marTop w:val="0"/>
      <w:marBottom w:val="0"/>
      <w:divBdr>
        <w:top w:val="none" w:sz="0" w:space="0" w:color="auto"/>
        <w:left w:val="none" w:sz="0" w:space="0" w:color="auto"/>
        <w:bottom w:val="none" w:sz="0" w:space="0" w:color="auto"/>
        <w:right w:val="none" w:sz="0" w:space="0" w:color="auto"/>
      </w:divBdr>
    </w:div>
    <w:div w:id="1670017959">
      <w:bodyDiv w:val="1"/>
      <w:marLeft w:val="0"/>
      <w:marRight w:val="0"/>
      <w:marTop w:val="0"/>
      <w:marBottom w:val="0"/>
      <w:divBdr>
        <w:top w:val="none" w:sz="0" w:space="0" w:color="auto"/>
        <w:left w:val="none" w:sz="0" w:space="0" w:color="auto"/>
        <w:bottom w:val="none" w:sz="0" w:space="0" w:color="auto"/>
        <w:right w:val="none" w:sz="0" w:space="0" w:color="auto"/>
      </w:divBdr>
    </w:div>
    <w:div w:id="2062777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30.png"/></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F3D50-7D1A-4865-BFE5-2AE2530FC86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HP</dc:creator>
  <lastModifiedBy>Thiago Paradela</lastModifiedBy>
  <revision>13</revision>
  <lastPrinted>2024-09-12T19:30:00.0000000Z</lastPrinted>
  <dcterms:created xsi:type="dcterms:W3CDTF">2024-09-17T17:58:00.0000000Z</dcterms:created>
  <dcterms:modified xsi:type="dcterms:W3CDTF">2026-06-23T19:09:18.5656055Z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ffc068bd2e02df4eeb8795c9e65fe78f41b55f45276d1d0e36ffc4546ebb0bd9</vt:lpwstr>
  </property>
</Properties>
</file>