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5F92" w:rsidRDefault="00B373AE" w14:paraId="1F9A9A81" w14:textId="77777777">
      <w:pPr>
        <w:spacing w:after="40" w:line="276" w:lineRule="auto"/>
      </w:pPr>
      <w:r>
        <w:rPr>
          <w:rFonts w:ascii="Open Sans" w:hAnsi="Open Sans" w:cs="Open Sans"/>
          <w:b/>
          <w:color w:val="FF0000"/>
          <w:sz w:val="40"/>
        </w:rPr>
        <w:t>NOTA METODOLÓGICA — ÍNDICE DE TRANSPARENCIA REPUBLICANA (ITR)</w:t>
      </w:r>
    </w:p>
    <w:p w:rsidR="00DC5F92" w:rsidRDefault="00B373AE" w14:paraId="09261CBC" w14:textId="77777777">
      <w:pPr>
        <w:pBdr>
          <w:bottom w:val="single" w:color="C8102E" w:sz="6" w:space="2"/>
        </w:pBdr>
        <w:spacing w:line="276" w:lineRule="auto"/>
      </w:pPr>
      <w:r>
        <w:rPr>
          <w:rFonts w:ascii="Open Sans" w:hAnsi="Open Sans" w:cs="Open Sans"/>
          <w:i/>
          <w:color w:val="777777"/>
          <w:sz w:val="18"/>
        </w:rPr>
        <w:t>Departamento de Políticas Públicas — Fundación Libertad y Progreso · Junio 2026</w:t>
      </w:r>
    </w:p>
    <w:p w:rsidR="00DC5F92" w:rsidRDefault="00B373AE" w14:paraId="162911EB" w14:textId="5D02CB04">
      <w:pPr>
        <w:spacing w:after="200" w:line="276" w:lineRule="auto"/>
      </w:pPr>
      <w:r>
        <w:rPr>
          <w:rFonts w:ascii="Open Sans" w:hAnsi="Open Sans" w:cs="Open Sans"/>
          <w:color w:val="404040"/>
          <w:sz w:val="20"/>
        </w:rPr>
        <w:t>Este documento detalla</w:t>
      </w:r>
      <w:r>
        <w:rPr>
          <w:rFonts w:ascii="Open Sans" w:hAnsi="Open Sans" w:cs="Open Sans"/>
          <w:color w:val="404040"/>
          <w:sz w:val="20"/>
        </w:rPr>
        <w:t xml:space="preserve"> cómo se construye el ITR: el método de cálculo, las fuentes y la fórmula de cada variable, y la composición de cada macrocategoría. Está pensado para auditoría y revisión periodística: todo el índice es reproducible a partir de fuentes públicas, sin encuestas ni juicios de opinión.</w:t>
      </w:r>
    </w:p>
    <w:p w:rsidR="00DC5F92" w:rsidRDefault="00B373AE" w14:paraId="40A131FF" w14:textId="77777777">
      <w:pPr>
        <w:spacing w:before="240" w:after="120" w:line="276" w:lineRule="auto"/>
      </w:pPr>
      <w:r>
        <w:rPr>
          <w:rFonts w:ascii="Open Sans" w:hAnsi="Open Sans" w:cs="Open Sans"/>
          <w:b/>
          <w:color w:val="FF0000"/>
          <w:sz w:val="26"/>
        </w:rPr>
        <w:t>1. Qué mide y bajo qué criterio</w:t>
      </w:r>
    </w:p>
    <w:p w:rsidR="00DC5F92" w:rsidRDefault="00B373AE" w14:paraId="0307E460" w14:textId="479B907E">
      <w:pPr>
        <w:spacing w:after="120" w:line="276" w:lineRule="auto"/>
      </w:pPr>
      <w:r>
        <w:rPr>
          <w:rFonts w:ascii="Open Sans" w:hAnsi="Open Sans" w:cs="Open Sans"/>
          <w:color w:val="404040"/>
          <w:sz w:val="20"/>
        </w:rPr>
        <w:t>El ITR mide cuán transparente, limitad</w:t>
      </w:r>
      <w:r w:rsidR="002D6070">
        <w:rPr>
          <w:rFonts w:ascii="Open Sans" w:hAnsi="Open Sans" w:cs="Open Sans"/>
          <w:color w:val="404040"/>
          <w:sz w:val="20"/>
        </w:rPr>
        <w:t>o</w:t>
      </w:r>
      <w:r>
        <w:rPr>
          <w:rFonts w:ascii="Open Sans" w:hAnsi="Open Sans" w:cs="Open Sans"/>
          <w:color w:val="404040"/>
          <w:sz w:val="20"/>
        </w:rPr>
        <w:t xml:space="preserve"> y sujet</w:t>
      </w:r>
      <w:r w:rsidR="002D6070">
        <w:rPr>
          <w:rFonts w:ascii="Open Sans" w:hAnsi="Open Sans" w:cs="Open Sans"/>
          <w:color w:val="404040"/>
          <w:sz w:val="20"/>
        </w:rPr>
        <w:t>o</w:t>
      </w:r>
      <w:r>
        <w:rPr>
          <w:rFonts w:ascii="Open Sans" w:hAnsi="Open Sans" w:cs="Open Sans"/>
          <w:color w:val="404040"/>
          <w:sz w:val="20"/>
        </w:rPr>
        <w:t xml:space="preserve"> a controles está el ejercicio del poder en la Argentina, desde la óptica de la república liberal (división de poderes, frenos y contrapesos). A diferencia de los índices que comparan contra el pasado o contra otros países, el ITR ancla cada variable a un IDEAL ABSOLUTO: el 100 representa el óptimo institucional alcanzable de esa dimensión y el 0 su colapso. Los puntajes miden, entonces, distancia al ideal, no posición relativa.</w:t>
      </w:r>
    </w:p>
    <w:p w:rsidR="00DC5F92" w:rsidRDefault="00B373AE" w14:paraId="60D0D718" w14:textId="4C3BA7B7">
      <w:pPr>
        <w:spacing w:before="240" w:after="120" w:line="276" w:lineRule="auto"/>
      </w:pPr>
      <w:r>
        <w:rPr>
          <w:rFonts w:ascii="Open Sans" w:hAnsi="Open Sans" w:cs="Open Sans"/>
          <w:b/>
          <w:color w:val="FF0000"/>
          <w:sz w:val="26"/>
        </w:rPr>
        <w:t>2. Método de cálculo</w:t>
      </w:r>
    </w:p>
    <w:p w:rsidR="00DC5F92" w:rsidRDefault="00B373AE" w14:paraId="46D8919B" w14:textId="30B39045">
      <w:pPr>
        <w:spacing w:after="120" w:line="276" w:lineRule="auto"/>
      </w:pPr>
      <w:r>
        <w:rPr>
          <w:rFonts w:ascii="Open Sans" w:hAnsi="Open Sans" w:cs="Open Sans"/>
          <w:color w:val="404040"/>
          <w:sz w:val="20"/>
        </w:rPr>
        <w:t>El ITR</w:t>
      </w:r>
      <w:r w:rsidR="00955FA3">
        <w:rPr>
          <w:rFonts w:ascii="Open Sans" w:hAnsi="Open Sans" w:cs="Open Sans"/>
          <w:color w:val="404040"/>
          <w:sz w:val="20"/>
        </w:rPr>
        <w:t xml:space="preserve"> </w:t>
      </w:r>
      <w:r>
        <w:rPr>
          <w:rFonts w:ascii="Open Sans" w:hAnsi="Open Sans" w:cs="Open Sans"/>
          <w:color w:val="404040"/>
          <w:sz w:val="20"/>
        </w:rPr>
        <w:t xml:space="preserve">utiliza </w:t>
      </w:r>
      <w:r>
        <w:rPr>
          <w:rFonts w:ascii="Open Sans" w:hAnsi="Open Sans" w:cs="Open Sans"/>
          <w:color w:val="404040"/>
          <w:sz w:val="20"/>
        </w:rPr>
        <w:t xml:space="preserve">un procedimiento </w:t>
      </w:r>
      <w:r>
        <w:rPr>
          <w:rFonts w:ascii="Open Sans" w:hAnsi="Open Sans" w:cs="Open Sans"/>
          <w:b/>
          <w:color w:val="404040"/>
          <w:sz w:val="20"/>
        </w:rPr>
        <w:t>determinístico</w:t>
      </w:r>
      <w:r>
        <w:rPr>
          <w:rFonts w:ascii="Open Sans" w:hAnsi="Open Sans" w:cs="Open Sans"/>
          <w:color w:val="404040"/>
          <w:sz w:val="20"/>
        </w:rPr>
        <w:t>: cada variable se normaliza por anclaje lineal a un ideal y luego se agregan los resultados por promedios ponderados con pesos fijos. Cualquiera puede reproducir el número exacto con las fuentes y estas reglas.</w:t>
      </w:r>
    </w:p>
    <w:p w:rsidR="00DC5F92" w:rsidRDefault="00B373AE" w14:paraId="7D56C8A3" w14:textId="77777777">
      <w:pPr>
        <w:spacing w:before="160" w:after="80" w:line="276" w:lineRule="auto"/>
      </w:pPr>
      <w:r>
        <w:rPr>
          <w:rFonts w:ascii="Open Sans" w:hAnsi="Open Sans" w:cs="Open Sans"/>
          <w:b/>
          <w:color w:val="404040"/>
        </w:rPr>
        <w:t>2.1 Anclaje de cada variable</w:t>
      </w:r>
    </w:p>
    <w:p w:rsidR="00DC5F92" w:rsidRDefault="00B373AE" w14:paraId="055C138C" w14:textId="77777777">
      <w:pPr>
        <w:spacing w:after="120" w:line="276" w:lineRule="auto"/>
      </w:pPr>
      <w:r>
        <w:rPr>
          <w:rFonts w:ascii="Open Sans" w:hAnsi="Open Sans" w:cs="Open Sans"/>
          <w:color w:val="404040"/>
          <w:sz w:val="20"/>
        </w:rPr>
        <w:t>Para una variable con valor v y anclas (mejor = b → 100; peor = w → 0): score = recorte( (v − w) / (b − w) , 0 , 1 ) × 100. El orden de las anclas define la dirección: si b &lt; w, “menos es mejor” (p. ej., menos DNU, menos pauta). El recorte impide puntajes fuera de 0–100.</w:t>
      </w:r>
    </w:p>
    <w:p w:rsidR="00DC5F92" w:rsidRDefault="00B373AE" w14:paraId="38669EED" w14:textId="77777777">
      <w:pPr>
        <w:spacing w:before="160" w:after="80" w:line="276" w:lineRule="auto"/>
      </w:pPr>
      <w:r>
        <w:rPr>
          <w:rFonts w:ascii="Open Sans" w:hAnsi="Open Sans" w:cs="Open Sans"/>
          <w:b/>
          <w:color w:val="404040"/>
        </w:rPr>
        <w:t>2.2 Suavizado</w:t>
      </w:r>
    </w:p>
    <w:p w:rsidR="00DC5F92" w:rsidRDefault="00B373AE" w14:paraId="53EBC55C" w14:textId="77777777">
      <w:pPr>
        <w:spacing w:after="120" w:line="276" w:lineRule="auto"/>
      </w:pPr>
      <w:r>
        <w:rPr>
          <w:rFonts w:ascii="Open Sans" w:hAnsi="Open Sans" w:cs="Open Sans"/>
          <w:color w:val="404040"/>
          <w:sz w:val="20"/>
        </w:rPr>
        <w:t>Las tasas y los conteos se promedian con media móvil de 12 meses para limpiar ruido y estacionalidad. Los estados binarios o puntuales NO se suavizan y valen por entero el mes que corresponde: presupuesto aprobado por el Congreso, designación del presidente del BCRA con acuerdo del Senado, y el estado estructural del acceso de la prensa.</w:t>
      </w:r>
      <w:r>
        <w:rPr>
          <w:rFonts w:ascii="Open Sans" w:hAnsi="Open Sans"/>
          <w:color w:val="404040"/>
          <w:sz w:val="20"/>
          <w:rFonts w:ascii="Open Sans" w:hAnsi="Open Sans" w:cs="Open Sans"/>
        </w:rPr>
        <w:t xml:space="preserve"> Un tercer modo, el ARRASTRE asimétrico, se aplica a eventos puntuales (hoy, el acceso de la prensa): el valor cae de golpe cuando ocurre el evento y se recupera de a poco (recuperación plena a los 3 meses), de modo que el daño institucional no desaparece al mes siguiente. No aplica al Ejecutivo, donde la discrecionalidad cambia legítimamente mes a mes; la reiterancia la carga aparte el event-count de 12 meses.</w:t>
      </w:r>
    </w:p>
    <w:p w:rsidR="00DC5F92" w:rsidRDefault="00B373AE" w14:paraId="16FF3D68" w14:textId="77777777">
      <w:pPr>
        <w:spacing w:before="160" w:after="80" w:line="276" w:lineRule="auto"/>
      </w:pPr>
      <w:r>
        <w:rPr>
          <w:rFonts w:ascii="Open Sans" w:hAnsi="Open Sans" w:cs="Open Sans"/>
          <w:b/>
          <w:color w:val="404040"/>
        </w:rPr>
        <w:t>2.3 Variables con sub-componentes</w:t>
      </w:r>
    </w:p>
    <w:p w:rsidR="00DC5F92" w:rsidRDefault="00B373AE" w14:paraId="58E3703C" w14:textId="77777777">
      <w:pPr>
        <w:spacing w:after="120" w:line="276" w:lineRule="auto"/>
      </w:pPr>
      <w:r>
        <w:rPr>
          <w:rFonts w:ascii="Open Sans" w:hAnsi="Open Sans" w:cs="Open Sans"/>
          <w:color w:val="404040"/>
          <w:sz w:val="20"/>
        </w:rPr>
        <w:t xml:space="preserve">Algunas variables combinan dos o más sub-indicadores (p. ej., la Corte combina tasa de resolución, mediana de días, competencia originaria y vacantes). El puntaje de la </w:t>
      </w:r>
      <w:r>
        <w:rPr>
          <w:rFonts w:ascii="Open Sans" w:hAnsi="Open Sans" w:cs="Open Sans"/>
          <w:color w:val="404040"/>
          <w:sz w:val="20"/>
        </w:rPr>
        <w:t>variable es el promedio ponderado de sus sub-scores, con los pesos intra que se detallan en la sección 4.</w:t>
      </w:r>
    </w:p>
    <w:p w:rsidR="00DC5F92" w:rsidRDefault="00B373AE" w14:paraId="28558324" w14:textId="77777777">
      <w:pPr>
        <w:spacing w:before="160" w:after="80" w:line="276" w:lineRule="auto"/>
      </w:pPr>
      <w:r>
        <w:rPr>
          <w:rFonts w:ascii="Open Sans" w:hAnsi="Open Sans" w:cs="Open Sans"/>
          <w:b/>
          <w:color w:val="404040"/>
        </w:rPr>
        <w:t>2.4 Sub-índice por eje y agregación final</w:t>
      </w:r>
    </w:p>
    <w:p w:rsidR="00DC5F92" w:rsidRDefault="00B373AE" w14:paraId="7394D1A5" w14:textId="4C00B9B2">
      <w:pPr>
        <w:spacing w:after="120" w:line="276" w:lineRule="auto"/>
      </w:pPr>
      <w:r>
        <w:rPr>
          <w:rFonts w:ascii="Open Sans" w:hAnsi="Open Sans" w:cs="Open Sans"/>
          <w:color w:val="404040"/>
          <w:sz w:val="20"/>
        </w:rPr>
        <w:t>El sub-índice de cada macrocategoría es el promedio ponderado de las variables disponibles de ese eje, renormalizado por la suma de sus pesos: si una variable falta un mes, el peso se reparte entre las presentes y NO se altera el peso macro del eje. El ITR final es el promedio de los cinco sub-índices con pesos macro FIJOS: Ejecutivo 30</w:t>
      </w:r>
      <w:r>
        <w:rPr>
          <w:rFonts w:ascii="Open Sans" w:hAnsi="Open Sans" w:cs="Open Sans"/>
          <w:color w:val="404040"/>
          <w:sz w:val="20"/>
        </w:rPr>
        <w:t>%, Legislativo 20</w:t>
      </w:r>
      <w:r>
        <w:rPr>
          <w:rFonts w:ascii="Open Sans" w:hAnsi="Open Sans" w:cs="Open Sans"/>
          <w:color w:val="404040"/>
          <w:sz w:val="20"/>
        </w:rPr>
        <w:t>%, Judicial 20</w:t>
      </w:r>
      <w:r>
        <w:rPr>
          <w:rFonts w:ascii="Open Sans" w:hAnsi="Open Sans" w:cs="Open Sans"/>
          <w:color w:val="404040"/>
          <w:sz w:val="20"/>
        </w:rPr>
        <w:t>%, Prensa 15</w:t>
      </w:r>
      <w:r>
        <w:rPr>
          <w:rFonts w:ascii="Open Sans" w:hAnsi="Open Sans" w:cs="Open Sans"/>
          <w:color w:val="404040"/>
          <w:sz w:val="20"/>
        </w:rPr>
        <w:t>%, Banco Central 15</w:t>
      </w:r>
      <w:r>
        <w:rPr>
          <w:rFonts w:ascii="Open Sans" w:hAnsi="Open Sans" w:cs="Open Sans"/>
          <w:color w:val="404040"/>
          <w:sz w:val="20"/>
        </w:rPr>
        <w:t>%.</w:t>
      </w:r>
    </w:p>
    <w:p w:rsidR="00DC5F92" w:rsidRDefault="00B373AE" w14:paraId="2F3B916A" w14:textId="77777777">
      <w:pPr>
        <w:spacing w:after="120" w:line="276" w:lineRule="auto"/>
      </w:pPr>
      <w:r>
        <w:rPr>
          <w:rFonts w:ascii="Open Sans" w:hAnsi="Open Sans" w:cs="Open Sans"/>
          <w:i/>
          <w:color w:val="777777"/>
          <w:sz w:val="18"/>
        </w:rPr>
        <w:t>Peso efectivo de una variable en el ITR = peso macro del eje × (peso relativo de la variable ÷ suma de pesos de las variables presentes del eje).</w:t>
      </w:r>
    </w:p>
    <w:p w:rsidR="00DC5F92" w:rsidRDefault="00B373AE" w14:paraId="1B466DB2" w14:textId="77777777">
      <w:pPr>
        <w:spacing w:before="240" w:after="120" w:line="276" w:lineRule="auto"/>
      </w:pPr>
      <w:r>
        <w:rPr>
          <w:rFonts w:ascii="Open Sans" w:hAnsi="Open Sans" w:cs="Open Sans"/>
          <w:b/>
          <w:color w:val="FF0000"/>
          <w:sz w:val="26"/>
        </w:rPr>
        <w:t>3. Composición de las macrocategorías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1"/>
        <w:gridCol w:w="928"/>
        <w:gridCol w:w="4416"/>
      </w:tblGrid>
      <w:tr w:rsidR="00DC5F92" w14:paraId="6946CAA1" w14:textId="77777777">
        <w:tc>
          <w:tcPr>
            <w:tcW w:w="2880" w:type="dxa"/>
            <w:shd w:val="clear" w:color="auto" w:fill="F2D9DC"/>
          </w:tcPr>
          <w:p w:rsidR="00DC5F92" w:rsidRDefault="00B373AE" w14:paraId="77EB0580" w14:textId="77777777">
            <w:pPr>
              <w:jc w:val="center"/>
            </w:pPr>
            <w:r>
              <w:rPr>
                <w:rFonts w:ascii="Open Sans" w:hAnsi="Open Sans" w:cs="Open Sans"/>
                <w:b/>
                <w:color w:val="404040"/>
                <w:sz w:val="18"/>
              </w:rPr>
              <w:t>Macrocategoría</w:t>
            </w:r>
          </w:p>
        </w:tc>
        <w:tc>
          <w:tcPr>
            <w:tcW w:w="1008" w:type="dxa"/>
            <w:shd w:val="clear" w:color="auto" w:fill="F2D9DC"/>
          </w:tcPr>
          <w:p w:rsidR="00DC5F92" w:rsidRDefault="00B373AE" w14:paraId="0E3EF66A" w14:textId="77777777">
            <w:pPr>
              <w:jc w:val="center"/>
            </w:pPr>
            <w:r>
              <w:rPr>
                <w:rFonts w:ascii="Open Sans" w:hAnsi="Open Sans" w:cs="Open Sans"/>
                <w:b/>
                <w:color w:val="404040"/>
                <w:sz w:val="18"/>
              </w:rPr>
              <w:t>Peso</w:t>
            </w:r>
          </w:p>
        </w:tc>
        <w:tc>
          <w:tcPr>
            <w:tcW w:w="5184" w:type="dxa"/>
            <w:shd w:val="clear" w:color="auto" w:fill="F2D9DC"/>
          </w:tcPr>
          <w:p w:rsidR="00DC5F92" w:rsidRDefault="00B373AE" w14:paraId="207FFE2D" w14:textId="77777777">
            <w:pPr>
              <w:jc w:val="center"/>
            </w:pPr>
            <w:r>
              <w:rPr>
                <w:rFonts w:ascii="Open Sans" w:hAnsi="Open Sans" w:cs="Open Sans"/>
                <w:b/>
                <w:color w:val="404040"/>
                <w:sz w:val="18"/>
              </w:rPr>
              <w:t>Variables que la componen</w:t>
            </w:r>
          </w:p>
        </w:tc>
      </w:tr>
      <w:tr w:rsidR="00DC5F92" w14:paraId="32997094" w14:textId="77777777">
        <w:tc>
          <w:tcPr>
            <w:tcW w:w="2880" w:type="dxa"/>
          </w:tcPr>
          <w:p w:rsidR="00DC5F92" w:rsidRDefault="00B373AE" w14:paraId="5BD86ADD" w14:textId="77777777">
            <w:r>
              <w:rPr>
                <w:rFonts w:ascii="Open Sans" w:hAnsi="Open Sans" w:cs="Open Sans"/>
                <w:color w:val="404040"/>
                <w:sz w:val="18"/>
              </w:rPr>
              <w:t>Poder Ejecutivo</w:t>
            </w:r>
          </w:p>
        </w:tc>
        <w:tc>
          <w:tcPr>
            <w:tcW w:w="1008" w:type="dxa"/>
          </w:tcPr>
          <w:p w:rsidR="00DC5F92" w:rsidRDefault="00B373AE" w14:paraId="18887B1A" w14:textId="77777777">
            <w:pPr>
              <w:jc w:val="center"/>
            </w:pPr>
            <w:r>
              <w:rPr>
                <w:rFonts w:ascii="Open Sans" w:hAnsi="Open Sans" w:cs="Open Sans"/>
                <w:color w:val="404040"/>
                <w:sz w:val="18"/>
              </w:rPr>
              <w:t>30 %</w:t>
            </w:r>
          </w:p>
        </w:tc>
        <w:tc>
          <w:tcPr>
            <w:tcW w:w="5184" w:type="dxa"/>
          </w:tcPr>
          <w:p w:rsidR="00DC5F92" w:rsidRDefault="00B373AE" w14:paraId="46E74D9E" w14:textId="77777777">
            <w:r>
              <w:rPr>
                <w:rFonts w:ascii="Open Sans" w:hAnsi="Open Sans" w:cs="Open Sans"/>
                <w:color w:val="404040"/>
                <w:sz w:val="18"/>
              </w:rPr>
              <w:t>DNU vs. leyes · Discrecionalidad presupuestaria · Transparencia activa (AIP) · ATN (federalismo)</w:t>
            </w:r>
          </w:p>
        </w:tc>
      </w:tr>
      <w:tr w:rsidR="00DC5F92" w14:paraId="270EB761" w14:textId="77777777">
        <w:tc>
          <w:tcPr>
            <w:tcW w:w="2880" w:type="dxa"/>
          </w:tcPr>
          <w:p w:rsidR="00DC5F92" w:rsidRDefault="00B373AE" w14:paraId="4380B0DC" w14:textId="77777777">
            <w:r>
              <w:rPr>
                <w:rFonts w:ascii="Open Sans" w:hAnsi="Open Sans" w:cs="Open Sans"/>
                <w:color w:val="404040"/>
                <w:sz w:val="18"/>
              </w:rPr>
              <w:t>Poder Legislativo</w:t>
            </w:r>
          </w:p>
        </w:tc>
        <w:tc>
          <w:tcPr>
            <w:tcW w:w="1008" w:type="dxa"/>
          </w:tcPr>
          <w:p w:rsidR="00DC5F92" w:rsidRDefault="00B373AE" w14:paraId="3B0DD29F" w14:textId="77777777">
            <w:pPr>
              <w:jc w:val="center"/>
            </w:pPr>
            <w:r>
              <w:rPr>
                <w:rFonts w:ascii="Open Sans" w:hAnsi="Open Sans" w:cs="Open Sans"/>
                <w:color w:val="404040"/>
                <w:sz w:val="18"/>
              </w:rPr>
              <w:t>20 %</w:t>
            </w:r>
          </w:p>
        </w:tc>
        <w:tc>
          <w:tcPr>
            <w:tcW w:w="5184" w:type="dxa"/>
          </w:tcPr>
          <w:p w:rsidR="00DC5F92" w:rsidRDefault="00B373AE" w14:paraId="1C55EA6A" w14:textId="77777777">
            <w:r>
              <w:rPr>
                <w:rFonts w:ascii="Open Sans" w:hAnsi="Open Sans" w:cs="Open Sans"/>
                <w:color w:val="404040"/>
                <w:sz w:val="18"/>
              </w:rPr>
              <w:t>Eficacia de control · Calidad normativa · Costo del Legislativo</w:t>
            </w:r>
          </w:p>
        </w:tc>
      </w:tr>
      <w:tr w:rsidR="00DC5F92" w14:paraId="5925470A" w14:textId="77777777">
        <w:tc>
          <w:tcPr>
            <w:tcW w:w="2880" w:type="dxa"/>
          </w:tcPr>
          <w:p w:rsidR="00DC5F92" w:rsidRDefault="00B373AE" w14:paraId="7A9DDA07" w14:textId="77777777">
            <w:r>
              <w:rPr>
                <w:rFonts w:ascii="Open Sans" w:hAnsi="Open Sans" w:cs="Open Sans"/>
                <w:color w:val="404040"/>
                <w:sz w:val="18"/>
              </w:rPr>
              <w:t>Poder Judicial</w:t>
            </w:r>
          </w:p>
        </w:tc>
        <w:tc>
          <w:tcPr>
            <w:tcW w:w="1008" w:type="dxa"/>
          </w:tcPr>
          <w:p w:rsidR="00DC5F92" w:rsidRDefault="00B373AE" w14:paraId="14C23DED" w14:textId="77777777">
            <w:pPr>
              <w:jc w:val="center"/>
            </w:pPr>
            <w:r>
              <w:rPr>
                <w:rFonts w:ascii="Open Sans" w:hAnsi="Open Sans" w:cs="Open Sans"/>
                <w:color w:val="404040"/>
                <w:sz w:val="18"/>
              </w:rPr>
              <w:t>20 %</w:t>
            </w:r>
          </w:p>
        </w:tc>
        <w:tc>
          <w:tcPr>
            <w:tcW w:w="5184" w:type="dxa"/>
          </w:tcPr>
          <w:p w:rsidR="00DC5F92" w:rsidRDefault="00B373AE" w14:paraId="7ACE587A" w14:textId="77777777">
            <w:r>
              <w:rPr>
                <w:rFonts w:ascii="Open Sans" w:hAnsi="Open Sans" w:cs="Open Sans"/>
                <w:color w:val="404040"/>
                <w:sz w:val="18"/>
              </w:rPr>
              <w:t>Desempeño de la Corte · Cobertura judicial</w:t>
            </w:r>
          </w:p>
        </w:tc>
      </w:tr>
      <w:tr w:rsidR="00DC5F92" w14:paraId="0FB5B79C" w14:textId="77777777">
        <w:tc>
          <w:tcPr>
            <w:tcW w:w="2880" w:type="dxa"/>
          </w:tcPr>
          <w:p w:rsidR="00DC5F92" w:rsidRDefault="00B373AE" w14:paraId="06233B41" w14:textId="77777777">
            <w:r>
              <w:rPr>
                <w:rFonts w:ascii="Open Sans" w:hAnsi="Open Sans" w:cs="Open Sans"/>
                <w:color w:val="404040"/>
                <w:sz w:val="18"/>
              </w:rPr>
              <w:t>Prensa Institucional</w:t>
            </w:r>
          </w:p>
        </w:tc>
        <w:tc>
          <w:tcPr>
            <w:tcW w:w="1008" w:type="dxa"/>
          </w:tcPr>
          <w:p w:rsidR="00DC5F92" w:rsidRDefault="00B373AE" w14:paraId="10A4E051" w14:textId="77777777">
            <w:pPr>
              <w:jc w:val="center"/>
            </w:pPr>
            <w:r>
              <w:rPr>
                <w:rFonts w:ascii="Open Sans" w:hAnsi="Open Sans" w:cs="Open Sans"/>
                <w:color w:val="404040"/>
                <w:sz w:val="18"/>
              </w:rPr>
              <w:t>15 %</w:t>
            </w:r>
          </w:p>
        </w:tc>
        <w:tc>
          <w:tcPr>
            <w:tcW w:w="5184" w:type="dxa"/>
          </w:tcPr>
          <w:p w:rsidR="00DC5F92" w:rsidRDefault="00B373AE" w14:paraId="203E43A4" w14:textId="77777777">
            <w:r>
              <w:rPr>
                <w:rFonts w:ascii="Open Sans" w:hAnsi="Open Sans" w:cs="Open Sans"/>
                <w:color w:val="404040"/>
                <w:sz w:val="18"/>
              </w:rPr>
              <w:t>Escrutinio abierto · Pauta oficial · Causas contra periodistas · Medios estatales · Acceso de la prensa</w:t>
            </w:r>
          </w:p>
        </w:tc>
      </w:tr>
      <w:tr w:rsidR="00DC5F92" w14:paraId="7330DAF4" w14:textId="77777777">
        <w:tc>
          <w:tcPr>
            <w:tcW w:w="2880" w:type="dxa"/>
          </w:tcPr>
          <w:p w:rsidR="00DC5F92" w:rsidRDefault="00B373AE" w14:paraId="495184A8" w14:textId="77777777">
            <w:r>
              <w:rPr>
                <w:rFonts w:ascii="Open Sans" w:hAnsi="Open Sans" w:cs="Open Sans"/>
                <w:color w:val="404040"/>
                <w:sz w:val="18"/>
              </w:rPr>
              <w:t>Banco Central</w:t>
            </w:r>
          </w:p>
        </w:tc>
        <w:tc>
          <w:tcPr>
            <w:tcW w:w="1008" w:type="dxa"/>
          </w:tcPr>
          <w:p w:rsidR="00DC5F92" w:rsidRDefault="00B373AE" w14:paraId="575B0895" w14:textId="77777777">
            <w:pPr>
              <w:jc w:val="center"/>
            </w:pPr>
            <w:r>
              <w:rPr>
                <w:rFonts w:ascii="Open Sans" w:hAnsi="Open Sans" w:cs="Open Sans"/>
                <w:color w:val="404040"/>
                <w:sz w:val="18"/>
              </w:rPr>
              <w:t>15 %</w:t>
            </w:r>
          </w:p>
        </w:tc>
        <w:tc>
          <w:tcPr>
            <w:tcW w:w="5184" w:type="dxa"/>
          </w:tcPr>
          <w:p w:rsidR="00DC5F92" w:rsidRDefault="00B373AE" w14:paraId="5A651704" w14:textId="77777777">
            <w:r>
              <w:rPr>
                <w:rFonts w:ascii="Open Sans" w:hAnsi="Open Sans" w:cs="Open Sans"/>
                <w:color w:val="404040"/>
                <w:sz w:val="18"/>
              </w:rPr>
              <w:t>Financiamiento al Tesoro · Letras intransferibles · Designación del presidente · Respeto de la Carta Orgánica</w:t>
            </w:r>
          </w:p>
        </w:tc>
      </w:tr>
    </w:tbl>
    <w:p w:rsidR="00DC5F92" w:rsidRDefault="00B373AE" w14:paraId="344CAF10" w14:textId="6CC633F9">
      <w:pPr>
        <w:spacing w:before="80" w:after="120" w:line="276" w:lineRule="auto"/>
      </w:pPr>
      <w:r>
        <w:rPr>
          <w:rFonts w:ascii="Open Sans" w:hAnsi="Open Sans" w:cs="Open Sans"/>
          <w:i/>
          <w:color w:val="777777"/>
          <w:sz w:val="18"/>
        </w:rPr>
        <w:t>El control de la corrupción fue evaluado y descartado por no existir un dato duro, periódico y automatizable de celeridad/condena</w:t>
      </w:r>
      <w:r w:rsidR="000E4C12">
        <w:rPr>
          <w:rFonts w:ascii="Open Sans" w:hAnsi="Open Sans" w:cs="Open Sans"/>
          <w:i/>
          <w:color w:val="777777"/>
          <w:sz w:val="18"/>
        </w:rPr>
        <w:t>.</w:t>
      </w:r>
    </w:p>
    <w:p w:rsidR="00DC5F92" w:rsidRDefault="00B373AE" w14:paraId="7CE4CC5B" w14:textId="77777777">
      <w:pPr>
        <w:spacing w:before="240" w:after="120" w:line="276" w:lineRule="auto"/>
      </w:pPr>
      <w:r>
        <w:rPr>
          <w:rFonts w:ascii="Open Sans" w:hAnsi="Open Sans" w:cs="Open Sans"/>
          <w:b/>
          <w:color w:val="FF0000"/>
          <w:sz w:val="26"/>
        </w:rPr>
        <w:t>4. Detalle por variable (fuente, cálculo y anclas)</w:t>
      </w:r>
    </w:p>
    <w:p w:rsidR="00DC5F92" w:rsidRDefault="00B373AE" w14:paraId="7080AD33" w14:textId="77777777">
      <w:pPr>
        <w:spacing w:before="160" w:after="80" w:line="276" w:lineRule="auto"/>
      </w:pPr>
      <w:r>
        <w:rPr>
          <w:rFonts w:ascii="Open Sans" w:hAnsi="Open Sans" w:cs="Open Sans"/>
          <w:b/>
          <w:color w:val="404040"/>
        </w:rPr>
        <w:t>Poder Ejecutivo (30 %)</w:t>
      </w:r>
    </w:p>
    <w:p w:rsidR="00DC5F92" w:rsidRDefault="00B373AE" w14:paraId="13817E55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DNU vs. leyes — peso rel. 0,12. </w:t>
      </w:r>
      <w:r>
        <w:rPr>
          <w:rFonts w:ascii="Open Sans" w:hAnsi="Open Sans" w:cs="Open Sans"/>
          <w:color w:val="404040"/>
          <w:sz w:val="20"/>
        </w:rPr>
        <w:t>Abuso de la legislación por decreto. Cálculo: DNU / (DNU + leyes), ventana 12 meses. Fuente: dataset de normativa nacional de InfoLEG (clase de norma), módulo 01. Anclas: 5 % → 100 ; 70 % → 0. Suavizado 12 m.</w:t>
      </w:r>
    </w:p>
    <w:p w:rsidR="00DC5F92" w:rsidRDefault="00B373AE" w14:paraId="69D83FA5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Discrecionalidad presupuestaria — peso rel. 0,13. </w:t>
      </w:r>
      <w:r>
        <w:rPr>
          <w:rFonts w:ascii="Open Sans" w:hAnsi="Open Sans" w:cs="Open Sans"/>
          <w:color w:val="404040"/>
          <w:sz w:val="20"/>
        </w:rPr>
        <w:t>Dos componentes: (a) ¿el Congreso aprobó el Presupuesto? (binario, 1→100 / 0→0, peso .6, sin suavizar) y (b) modificaciones por decreto en 12 m (5 → 100 ; 12 → 0, peso .4). Fuente: DGSIAF / Presupuesto Abierto y OPC, módulo 04.</w:t>
      </w:r>
    </w:p>
    <w:p w:rsidR="00DC5F92" w:rsidRDefault="00B373AE" w14:paraId="280E82B2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Transparencia activa (AIP) — peso rel. 0,05. </w:t>
      </w:r>
      <w:r>
        <w:rPr>
          <w:rFonts w:ascii="Open Sans" w:hAnsi="Open Sans" w:cs="Open Sans"/>
          <w:color w:val="404040"/>
          <w:sz w:val="20"/>
        </w:rPr>
        <w:t>Acceso a la información pública: tasa de respuesta (0,95→100 ; 0,30→0, peso .4) y tasa en plazo (0,90→100 ; 0,20→0, peso .6). Fuente: AAIP, microdato de solicitudes (datos.jus.gob.ar), módulo 11. Suavizado 12 m.</w:t>
      </w:r>
    </w:p>
    <w:p w:rsidR="00DC5F92" w:rsidRDefault="00B373AE" w14:paraId="4FB8B3C4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ATN — federalismo — peso rel. 0,06. </w:t>
      </w:r>
      <w:r>
        <w:rPr>
          <w:rFonts w:ascii="Open Sans" w:hAnsi="Open Sans" w:cs="Open Sans"/>
          <w:color w:val="404040"/>
          <w:sz w:val="20"/>
        </w:rPr>
        <w:t>Aportes del Tesoro Nacional repartidos a dedo a provincias, como porción del gasto devengado. Anclas: 0,1 % → 100 ; 0,7 % → 0. Fuente: DGSIAF crédito anual, módulo 16.</w:t>
      </w:r>
    </w:p>
    <w:p w:rsidR="00DC5F92" w:rsidRDefault="00B373AE" w14:paraId="7BD53C84" w14:textId="77777777">
      <w:pPr>
        <w:spacing w:before="160" w:after="80" w:line="276" w:lineRule="auto"/>
      </w:pPr>
      <w:r>
        <w:rPr>
          <w:rFonts w:ascii="Open Sans" w:hAnsi="Open Sans" w:cs="Open Sans"/>
          <w:b/>
          <w:color w:val="404040"/>
        </w:rPr>
        <w:t>Poder Legislativo (20 %)</w:t>
      </w:r>
    </w:p>
    <w:p w:rsidR="00DC5F92" w:rsidRDefault="00B373AE" w14:paraId="3E7F9DBF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Eficacia de control — peso rel. 0,12. </w:t>
      </w:r>
      <w:r>
        <w:rPr>
          <w:rFonts w:ascii="Open Sans" w:hAnsi="Open Sans" w:cs="Open Sans"/>
          <w:color w:val="404040"/>
          <w:sz w:val="20"/>
        </w:rPr>
        <w:t>Cumplimiento del control parlamentario (art. 101 CN / pedidos de informe), tasa 12 m. Anclas: 0,75 → 100 ; 0,10 → 0. Fuente: HCDN + Senado/JGM, módulo 03.</w:t>
      </w:r>
    </w:p>
    <w:p w:rsidR="00DC5F92" w:rsidRDefault="00B373AE" w14:paraId="40D383B9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Calidad normativa — peso rel. 0,10. </w:t>
      </w:r>
      <w:r>
        <w:rPr>
          <w:rFonts w:ascii="Open Sans" w:hAnsi="Open Sans" w:cs="Open Sans"/>
          <w:color w:val="404040"/>
          <w:sz w:val="20"/>
        </w:rPr>
        <w:t>Leyes de fondo por sesión (derivada: leyes sancionadas ÷ sesiones, 1,5 → 100 ; 0,2 → 0, peso .6) y cumplimiento del calendario de sesiones (0,95 → 100 ; 0,40 → 0, peso .4). Fuente: InfoLEG + HCDN + sesiones, módulos 02 y 14.</w:t>
      </w:r>
    </w:p>
    <w:p w:rsidR="00DC5F92" w:rsidRDefault="00B373AE" w14:paraId="0D713A29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Costo del Legislativo — peso rel. 0,03. </w:t>
      </w:r>
      <w:r>
        <w:rPr>
          <w:rFonts w:ascii="Open Sans" w:hAnsi="Open Sans" w:cs="Open Sans"/>
          <w:color w:val="404040"/>
          <w:sz w:val="20"/>
        </w:rPr>
        <w:t>Gasto del propio Congreso como porción del gasto total. Anclas: 0,3 % → 100 ; 1,2 % → 0. Fuente: DGSIAF, módulo 12.</w:t>
      </w:r>
    </w:p>
    <w:p w:rsidR="00DC5F92" w:rsidRDefault="00B373AE" w14:paraId="4BD0E43A" w14:textId="77777777">
      <w:pPr>
        <w:spacing w:before="160" w:after="80" w:line="276" w:lineRule="auto"/>
      </w:pPr>
      <w:r>
        <w:rPr>
          <w:rFonts w:ascii="Open Sans" w:hAnsi="Open Sans" w:cs="Open Sans"/>
          <w:b/>
          <w:color w:val="404040"/>
        </w:rPr>
        <w:t>Poder Judicial (20 %)</w:t>
      </w:r>
    </w:p>
    <w:p w:rsidR="00DC5F92" w:rsidRDefault="00B373AE" w14:paraId="27D05ACA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Desempeño de la Corte — peso rel. 0,15. </w:t>
      </w:r>
      <w:r>
        <w:rPr>
          <w:rFonts w:ascii="Open Sans" w:hAnsi="Open Sans" w:cs="Open Sans"/>
          <w:color w:val="404040"/>
          <w:sz w:val="20"/>
        </w:rPr>
        <w:t>Cuatro sub-indicadores: tasa de resolución (0,95→100 ; 0,30→0, .35), mediana de días de fallo (120→100 ; 730→0, .25), días de competencia originaria (365→100 ; 1825→0, .20) y vacantes en la Corte (0→100 ; 3→0, .20). Fuente: estadísticas/anuarios CSJN, módulo 06.</w:t>
      </w:r>
    </w:p>
    <w:p w:rsidR="00DC5F92" w:rsidRDefault="00B373AE" w14:paraId="7F37C96D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Cobertura judicial — peso rel. 0,10. </w:t>
      </w:r>
      <w:r>
        <w:rPr>
          <w:rFonts w:ascii="Open Sans" w:hAnsi="Open Sans" w:cs="Open Sans"/>
          <w:color w:val="404040"/>
          <w:sz w:val="20"/>
        </w:rPr>
        <w:t>Titularidad de cargos (0,90→100 ; 0,55→0, peso .6) y subrogancia (0,05→100 ; 0,35→0, peso .4). Fuente: Consejo de la Magistratura / cobertura de cargos, módulo 05.</w:t>
      </w:r>
    </w:p>
    <w:p w:rsidR="00DC5F92" w:rsidRDefault="00B373AE" w14:paraId="1A3756D5" w14:textId="77777777">
      <w:pPr>
        <w:spacing w:before="160" w:after="80" w:line="276" w:lineRule="auto"/>
      </w:pPr>
      <w:r>
        <w:rPr>
          <w:rFonts w:ascii="Open Sans" w:hAnsi="Open Sans" w:cs="Open Sans"/>
          <w:b/>
          <w:color w:val="404040"/>
        </w:rPr>
        <w:t>Prensa Institucional (15 %)</w:t>
      </w:r>
    </w:p>
    <w:p w:rsidR="00DC5F92" w:rsidRDefault="00B373AE" w14:paraId="580AE326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Escrutinio abierto — peso rel. 0,06. </w:t>
      </w:r>
      <w:r>
        <w:rPr>
          <w:rFonts w:ascii="Open Sans" w:hAnsi="Open Sans" w:cs="Open Sans"/>
          <w:color w:val="404040"/>
          <w:sz w:val="20"/>
        </w:rPr>
        <w:t>Conferencias de prensa con preguntas libres vs. cadenas nacionales: conf / (conf + cadenas), 12 m. Anclas: 0,85 → 100 ; 0,30 → 0. Fuente: Casa Rosada, módulo 07.</w:t>
      </w:r>
    </w:p>
    <w:p w:rsidR="00DC5F92" w:rsidRDefault="00B373AE" w14:paraId="34B9045E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Pauta oficial — peso rel. 0,05. </w:t>
      </w:r>
      <w:r>
        <w:rPr>
          <w:rFonts w:ascii="Open Sans" w:hAnsi="Open Sans" w:cs="Open Sans"/>
          <w:color w:val="404040"/>
          <w:sz w:val="20"/>
        </w:rPr>
        <w:t>Intensidad del gasto en publicidad oficial como porción del gasto total. Anclas: 0 → 100 ; 0,4 % → 0. Fuente: DGSIAF, módulo 08.</w:t>
      </w:r>
    </w:p>
    <w:p w:rsidR="00DC5F92" w:rsidRDefault="00B373AE" w14:paraId="38E962A4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Causas contra periodistas — peso rel. 0,04. </w:t>
      </w:r>
      <w:r>
        <w:rPr>
          <w:rFonts w:ascii="Open Sans" w:hAnsi="Open Sans" w:cs="Open Sans"/>
          <w:color w:val="404040"/>
          <w:sz w:val="20"/>
        </w:rPr>
        <w:t>Event-count de acciones judiciales contra periodistas (categoría oficial de FOPEA), 12 m. Anclas: 0 → 100 ; 20 → 0. Fuente: Monitoreo FOPEA, módulo 13.</w:t>
      </w:r>
    </w:p>
    <w:p w:rsidR="00DC5F92" w:rsidRDefault="00B373AE" w14:paraId="6C79F4E8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Medios estatales — peso rel. 0,04. </w:t>
      </w:r>
      <w:r>
        <w:rPr>
          <w:rFonts w:ascii="Open Sans" w:hAnsi="Open Sans" w:cs="Open Sans"/>
          <w:color w:val="404040"/>
          <w:sz w:val="20"/>
        </w:rPr>
        <w:t>Tamaño del aparato de medios del Estado (RTA, Radio Nacional, agencia, etc.) como porción del gasto. Anclas: 0 → 100 ; 0,15 % → 0. Fuente: DGSIAF, módulo 20.</w:t>
      </w:r>
    </w:p>
    <w:p w:rsidR="00DC5F92" w:rsidRDefault="00B373AE" w14:paraId="1DB5657D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Acceso de la prensa — peso rel. 0,04. </w:t>
      </w:r>
      <w:r>
        <w:rPr>
          <w:rFonts w:ascii="Open Sans" w:hAnsi="Open Sans" w:cs="Open Sans"/>
          <w:color w:val="404040"/>
          <w:sz w:val="20"/>
        </w:rPr>
        <w:t xml:space="preserve">Combina el estado del régimen de acceso en Casa Rosada (sala/acreditaciones: 1,0 / 0,5 / 0,0, con arrastre asimétrico de 3 meses, peso .5) y el event-count FOPEA de restricciones de acceso a la información pública (0 → 100 ; 40 → 0, 12 m, </w:t>
      </w:r>
      <w:r>
        <w:rPr>
          <w:rFonts w:ascii="Open Sans" w:hAnsi="Open Sans" w:cs="Open Sans"/>
          <w:color w:val="404040"/>
          <w:sz w:val="20"/>
        </w:rPr>
        <w:t>peso .5). Fuente: tabla mantenida + Monitoreo FOPEA (categoría restricciones-al-acceso-a-la-informacion-publica), módulo 22.</w:t>
      </w:r>
    </w:p>
    <w:p w:rsidR="00DC5F92" w:rsidRDefault="00B373AE" w14:paraId="530333F7" w14:textId="77777777">
      <w:pPr>
        <w:spacing w:before="160" w:after="80" w:line="276" w:lineRule="auto"/>
      </w:pPr>
      <w:r>
        <w:rPr>
          <w:rFonts w:ascii="Open Sans" w:hAnsi="Open Sans" w:cs="Open Sans"/>
          <w:b/>
          <w:color w:val="404040"/>
        </w:rPr>
        <w:t>Banco Central (15 %)</w:t>
      </w:r>
    </w:p>
    <w:p w:rsidR="00DC5F92" w:rsidRDefault="00B373AE" w14:paraId="3CED767A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Financiamiento al Tesoro — peso rel. 0,06. </w:t>
      </w:r>
      <w:r>
        <w:rPr>
          <w:rFonts w:ascii="Open Sans" w:hAnsi="Open Sans" w:cs="Open Sans"/>
          <w:color w:val="404040"/>
          <w:sz w:val="20"/>
        </w:rPr>
        <w:t>Adelantos transitorios / base monetaria. Anclas: 2 % → 100 ; 40 % → 0. Fuente: balance del BCRA (balbcrhis), módulo 18.</w:t>
      </w:r>
    </w:p>
    <w:p w:rsidR="00DC5F92" w:rsidRDefault="00B373AE" w14:paraId="7CE707CC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Letras intransferibles — peso rel. 0,05. </w:t>
      </w:r>
      <w:r>
        <w:rPr>
          <w:rFonts w:ascii="Open Sans" w:hAnsi="Open Sans" w:cs="Open Sans"/>
          <w:color w:val="404040"/>
          <w:sz w:val="20"/>
        </w:rPr>
        <w:t>Sector oficial en moneda extranjera (incluye la Letra Intransferible del Tesoro) / activo total del BCRA. Anclas: 0 → 100 ; 70 % → 0. Fuente: balance del BCRA, módulo 18.</w:t>
      </w:r>
    </w:p>
    <w:p w:rsidR="00DC5F92" w:rsidRDefault="00B373AE" w14:paraId="46232960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Designación del presidente del BCRA — peso rel. 0,04. </w:t>
      </w:r>
      <w:r>
        <w:rPr>
          <w:rFonts w:ascii="Open Sans" w:hAnsi="Open Sans" w:cs="Open Sans"/>
          <w:color w:val="404040"/>
          <w:sz w:val="20"/>
        </w:rPr>
        <w:t>Estado binario: 1 si fue designado con acuerdo del Senado, 0 si por decreto / en comisión (sin suavizar). Fuente: decretos del Boletín Oficial y acuerdos del Senado (tabla mantenida), módulo 17.</w:t>
      </w:r>
    </w:p>
    <w:p w:rsidR="00DC5F92" w:rsidRDefault="00B373AE" w14:paraId="4DF722EA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Respeto de la Carta Orgánica — peso rel. 0,05. </w:t>
      </w:r>
      <w:r>
        <w:rPr>
          <w:rFonts w:ascii="Open Sans" w:hAnsi="Open Sans" w:cs="Open Sans"/>
          <w:color w:val="404040"/>
          <w:sz w:val="20"/>
        </w:rPr>
        <w:t>Legalidad del financiamiento: exceso sobre el tope del art. 20 (Ley 24.144). Exceso = máx( adelantos ÷ (0,12·base + 0,10·recaudación 12 m) − 1 , 0 ). Anclas: 0 (dentro de la ley) → 100 ; 0,5 (excede el tope 50 %) → 0. Fuentes: balance del BCRA + recaudación nacional (Series de Tiempo, serie 172.3_TL_RECAION_M_0_0_17), módulo 21.</w:t>
      </w:r>
    </w:p>
    <w:p w:rsidR="00DC5F92" w:rsidRDefault="00B373AE" w14:paraId="1D033916" w14:textId="77777777">
      <w:pPr>
        <w:spacing w:before="240" w:after="120" w:line="276" w:lineRule="auto"/>
      </w:pPr>
      <w:r>
        <w:rPr>
          <w:rFonts w:ascii="Open Sans" w:hAnsi="Open Sans" w:cs="Open Sans"/>
          <w:b/>
          <w:color w:val="FF0000"/>
          <w:sz w:val="26"/>
        </w:rPr>
        <w:t>5. Reproducibilidad y trazabilidad</w:t>
      </w:r>
    </w:p>
    <w:p w:rsidR="00DC5F92" w:rsidRDefault="00B373AE" w14:paraId="1FB1BECF" w14:textId="0A058224">
      <w:pPr>
        <w:spacing w:after="120" w:line="276" w:lineRule="auto"/>
      </w:pPr>
      <w:r>
        <w:rPr>
          <w:rFonts w:ascii="Open Sans" w:hAnsi="Open Sans" w:cs="Open Sans"/>
          <w:color w:val="404040"/>
          <w:sz w:val="20"/>
        </w:rPr>
        <w:t>Cada variable se versiona como un pipeline fuente → consulta → transformación → valor, con fecha de corte. De las fuentes que cambian o pueden caerse se guardan snapshots datados (por ejemplo, el balance del BCRA y la serie de recaudación), de modo que el valor publicado se pueda recalcular de forma idéntica en el futuro. El valor del índice se computa siempre con conteos determinísticos, SQL o campos estructurados; ninguna capa de inteligencia artificial interviene en el número publicado</w:t>
      </w:r>
      <w:r>
        <w:rPr>
          <w:rFonts w:ascii="Open Sans" w:hAnsi="Open Sans" w:cs="Open Sans"/>
          <w:color w:val="404040"/>
          <w:sz w:val="20"/>
        </w:rPr>
        <w:t>.</w:t>
      </w:r>
    </w:p>
    <w:p w:rsidR="00DC5F92" w:rsidRDefault="00B373AE" w14:paraId="00F1DF6C" w14:textId="77777777">
      <w:pPr>
        <w:spacing w:before="240" w:after="120" w:line="276" w:lineRule="auto"/>
      </w:pPr>
      <w:r>
        <w:rPr>
          <w:rFonts w:ascii="Open Sans" w:hAnsi="Open Sans" w:cs="Open Sans"/>
          <w:b/>
          <w:color w:val="FF0000"/>
          <w:sz w:val="26"/>
        </w:rPr>
        <w:t>6. Serie histórica (ITR Núcleo)</w:t>
      </w:r>
    </w:p>
    <w:p w:rsidR="00DC5F92" w:rsidRDefault="00B373AE" w14:paraId="5A14EC01" w14:textId="77777777">
      <w:pPr>
        <w:spacing w:after="120" w:line="276" w:lineRule="auto"/>
      </w:pPr>
      <w:r>
        <w:rPr>
          <w:rFonts w:ascii="Open Sans" w:hAnsi="Open Sans" w:cs="Open Sans"/>
          <w:color w:val="404040"/>
          <w:sz w:val="20"/>
        </w:rPr>
        <w:t>Para comparar gobiernos completos se usa el ITR Núcleo: un subconjunto de variables con dato consistente de largo plazo que cubre los cinco ejes, llevado a frecuencia anual. Es una serie comparable, distinta del ITR mensual pleno (18 variables, desde 2023); sus niveles no son directamente comparables con el índice de titular. El eje Judicial tiene cobertura recién desde 2017.</w:t>
      </w:r>
    </w:p>
    <w:p w:rsidR="00DC5F92" w:rsidRDefault="00B373AE" w14:paraId="6FAEBDED" w14:textId="77777777">
      <w:pPr>
        <w:spacing w:before="160" w:after="120" w:line="276" w:lineRule="auto"/>
      </w:pPr>
      <w:r>
        <w:rPr>
          <w:rFonts w:ascii="Open Sans" w:hAnsi="Open Sans" w:cs="Open Sans"/>
          <w:color w:val="777777"/>
          <w:sz w:val="18"/>
        </w:rPr>
        <w:t>Versión del documento: junio 2026. Toda la metodología y los módulos de cálculo están disponibles en el repositorio del proyecto.</w:t>
      </w:r>
    </w:p>
    <w:sectPr w:rsidR="00DC5F92">
      <w:headerReference w:type="default" r:id="rId8"/>
      <w:footerReference w:type="default" r:id="rId9"/>
      <w:pgSz w:w="12240" w:h="15840" w:orient="portrait"/>
      <w:pgMar w:top="1440" w:right="1440" w:bottom="1440" w:left="2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73AE" w:rsidRDefault="00B373AE" w14:paraId="3718CF3D" w14:textId="77777777">
      <w:pPr>
        <w:spacing w:after="0" w:line="240" w:lineRule="auto"/>
      </w:pPr>
      <w:r>
        <w:separator/>
      </w:r>
    </w:p>
  </w:endnote>
  <w:endnote w:type="continuationSeparator" w:id="0">
    <w:p w:rsidR="00B373AE" w:rsidRDefault="00B373AE" w14:paraId="39BB224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FF3475" w:rsidR="00EB67EE" w:rsidRDefault="009D36B3" w14:paraId="402F9CB4" w14:textId="733605C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Open Sans" w:hAnsi="Open Sans" w:cs="Open Sans"/>
        <w:b/>
        <w:color w:val="C00000"/>
      </w:rPr>
    </w:pPr>
    <w:r>
      <w:rPr>
        <w:color w:val="000000"/>
      </w:rPr>
      <w:t xml:space="preserve"> </w:t>
    </w:r>
    <w:r>
      <w:rPr>
        <w:b/>
        <w:color w:val="C00000"/>
      </w:rPr>
      <w:tab/>
    </w:r>
    <w:r>
      <w:rPr>
        <w:b/>
        <w:color w:val="C00000"/>
      </w:rPr>
      <w:tab/>
    </w:r>
    <w:r>
      <w:rPr>
        <w:b/>
        <w:color w:val="C00000"/>
      </w:rPr>
      <w:tab/>
    </w:r>
    <w:r w:rsidRPr="00FF3475">
      <w:rPr>
        <w:rFonts w:ascii="Open Sans" w:hAnsi="Open Sans" w:eastAsia="Montserrat" w:cs="Open Sans"/>
        <w:b/>
        <w:color w:val="C00000"/>
      </w:rPr>
      <w:fldChar w:fldCharType="begin"/>
    </w:r>
    <w:r w:rsidRPr="00FF3475">
      <w:rPr>
        <w:rFonts w:ascii="Open Sans" w:hAnsi="Open Sans" w:eastAsia="Montserrat" w:cs="Open Sans"/>
        <w:b/>
        <w:color w:val="C00000"/>
      </w:rPr>
      <w:instrText>PAGE</w:instrText>
    </w:r>
    <w:r w:rsidRPr="00FF3475">
      <w:rPr>
        <w:rFonts w:ascii="Open Sans" w:hAnsi="Open Sans" w:eastAsia="Montserrat" w:cs="Open Sans"/>
        <w:b/>
        <w:color w:val="C00000"/>
      </w:rPr>
      <w:fldChar w:fldCharType="separate"/>
    </w:r>
    <w:r w:rsidR="00396BD4">
      <w:rPr>
        <w:rFonts w:ascii="Open Sans" w:hAnsi="Open Sans" w:eastAsia="Montserrat" w:cs="Open Sans"/>
        <w:b/>
        <w:noProof/>
        <w:color w:val="C00000"/>
      </w:rPr>
      <w:t>7</w:t>
    </w:r>
    <w:r w:rsidRPr="00FF3475">
      <w:rPr>
        <w:rFonts w:ascii="Open Sans" w:hAnsi="Open Sans" w:eastAsia="Montserrat" w:cs="Open Sans"/>
        <w:b/>
        <w:color w:val="C00000"/>
      </w:rPr>
      <w:fldChar w:fldCharType="end"/>
    </w:r>
    <w:r w:rsidRPr="00FF3475">
      <w:rPr>
        <w:rFonts w:ascii="Open Sans" w:hAnsi="Open Sans" w:cs="Open Sans"/>
        <w:noProof/>
        <w:lang w:val="es-419" w:eastAsia="es-419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0BB5FBC9" wp14:editId="5F88F8F4">
              <wp:simplePos x="0" y="0"/>
              <wp:positionH relativeFrom="column">
                <wp:posOffset>-1876424</wp:posOffset>
              </wp:positionH>
              <wp:positionV relativeFrom="paragraph">
                <wp:posOffset>160020</wp:posOffset>
              </wp:positionV>
              <wp:extent cx="6600825" cy="704850"/>
              <wp:effectExtent l="0" t="0" r="9525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00825" cy="704850"/>
                      </a:xfrm>
                      <a:prstGeom prst="rect">
                        <a:avLst/>
                      </a:prstGeom>
                      <a:solidFill>
                        <a:srgbClr val="DB003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0" distR="0" simplePos="0" relativeHeight="0" behindDoc="1" locked="0" layoutInCell="1" hidden="0" allowOverlap="1" wp14:anchorId="73AF1D8A" wp14:editId="7777777">
              <wp:simplePos x="0" y="0"/>
              <wp:positionH relativeFrom="column">
                <wp:posOffset>-1876424</wp:posOffset>
              </wp:positionH>
              <wp:positionV relativeFrom="paragraph">
                <wp:posOffset>160020</wp:posOffset>
              </wp:positionV>
              <wp:extent cx="6610350" cy="704850"/>
              <wp:effectExtent l="0" t="0" r="0" b="0"/>
              <wp:wrapNone/>
              <wp:docPr id="55100180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l="0" t="0" r="0" b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0350" cy="704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Pr="00FF3475">
      <w:rPr>
        <w:rFonts w:ascii="Open Sans" w:hAnsi="Open Sans" w:cs="Open Sans"/>
        <w:noProof/>
        <w:lang w:val="es-419" w:eastAsia="es-419"/>
      </w:rPr>
      <w:drawing>
        <wp:anchor distT="0" distB="0" distL="0" distR="0" simplePos="0" relativeHeight="251662336" behindDoc="1" locked="0" layoutInCell="1" hidden="0" allowOverlap="1" wp14:anchorId="24C3858E" wp14:editId="7BE7550D">
          <wp:simplePos x="0" y="0"/>
          <wp:positionH relativeFrom="column">
            <wp:posOffset>57150</wp:posOffset>
          </wp:positionH>
          <wp:positionV relativeFrom="paragraph">
            <wp:posOffset>360045</wp:posOffset>
          </wp:positionV>
          <wp:extent cx="4381500" cy="259644"/>
          <wp:effectExtent l="0" t="0" r="0" b="0"/>
          <wp:wrapNone/>
          <wp:docPr id="9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81500" cy="259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FF3475">
      <w:rPr>
        <w:rFonts w:ascii="Open Sans" w:hAnsi="Open Sans" w:cs="Open Sans"/>
        <w:noProof/>
        <w:lang w:val="es-419" w:eastAsia="es-419"/>
      </w:rPr>
      <w:drawing>
        <wp:anchor distT="0" distB="0" distL="0" distR="0" simplePos="0" relativeHeight="251663360" behindDoc="1" locked="0" layoutInCell="1" hidden="0" allowOverlap="1" wp14:anchorId="74B6C3F6" wp14:editId="2288B878">
          <wp:simplePos x="0" y="0"/>
          <wp:positionH relativeFrom="column">
            <wp:posOffset>-3009899</wp:posOffset>
          </wp:positionH>
          <wp:positionV relativeFrom="paragraph">
            <wp:posOffset>-953769</wp:posOffset>
          </wp:positionV>
          <wp:extent cx="3238500" cy="2857077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38500" cy="28570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73AE" w:rsidRDefault="00B373AE" w14:paraId="1EB5C8D0" w14:textId="77777777">
      <w:pPr>
        <w:spacing w:after="0" w:line="240" w:lineRule="auto"/>
      </w:pPr>
      <w:r>
        <w:separator/>
      </w:r>
    </w:p>
  </w:footnote>
  <w:footnote w:type="continuationSeparator" w:id="0">
    <w:p w:rsidR="00B373AE" w:rsidRDefault="00B373AE" w14:paraId="0846479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203170" w:rsidR="00EB67EE" w:rsidP="00203170" w:rsidRDefault="00203170" w14:paraId="6FE380E3" w14:textId="0C90D586">
    <w:pPr>
      <w:pBdr>
        <w:bottom w:val="single" w:color="7F7F7F" w:themeColor="text1" w:themeTint="80" w:sz="8" w:space="1"/>
      </w:pBdr>
      <w:jc w:val="both"/>
      <w:rPr>
        <w:rFonts w:ascii="Open Sans" w:hAnsi="Open Sans" w:eastAsia="Open Sans" w:cs="Open Sans"/>
        <w:b/>
        <w:color w:val="808080" w:themeColor="background1" w:themeShade="80"/>
        <w:sz w:val="20"/>
        <w:szCs w:val="20"/>
      </w:rPr>
    </w:pPr>
    <w:r w:rsidRPr="001F08F5">
      <w:rPr>
        <w:rFonts w:ascii="Open Sans" w:hAnsi="Open Sans" w:eastAsia="Open Sans" w:cs="Open Sans"/>
        <w:b/>
        <w:color w:val="808080" w:themeColor="background1" w:themeShade="80"/>
        <w:sz w:val="20"/>
        <w:szCs w:val="20"/>
      </w:rPr>
      <w:t>INFORME DE POLÍTICAS PÚBLICAS</w:t>
    </w:r>
    <w:r w:rsidRPr="001F08F5">
      <w:rPr>
        <w:noProof/>
        <w:sz w:val="20"/>
        <w:szCs w:val="20"/>
        <w:lang w:val="es-419" w:eastAsia="es-419"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274EEB37" wp14:editId="19A256E7">
              <wp:simplePos x="0" y="0"/>
              <wp:positionH relativeFrom="column">
                <wp:posOffset>-1390649</wp:posOffset>
              </wp:positionH>
              <wp:positionV relativeFrom="paragraph">
                <wp:posOffset>-457199</wp:posOffset>
              </wp:positionV>
              <wp:extent cx="826135" cy="915035"/>
              <wp:effectExtent l="0" t="0" r="0" b="0"/>
              <wp:wrapNone/>
              <wp:docPr id="13" name="Rectá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6135" cy="915035"/>
                      </a:xfrm>
                      <a:prstGeom prst="rect">
                        <a:avLst/>
                      </a:prstGeom>
                      <a:solidFill>
                        <a:srgbClr val="DB003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0B6ABC5">
            <v:rect id="Rectángulo 13" style="position:absolute;margin-left:-109.5pt;margin-top:-36pt;width:65.05pt;height:72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db0032" stroked="f" strokeweight="2pt" w14:anchorId="0BEB9C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"/>
          </w:pict>
        </mc:Fallback>
      </mc:AlternateContent>
    </w:r>
    <w:r w:rsidRPr="001F08F5">
      <w:rPr>
        <w:noProof/>
        <w:sz w:val="20"/>
        <w:szCs w:val="20"/>
        <w:lang w:val="es-419" w:eastAsia="es-419"/>
      </w:rPr>
      <w:drawing>
        <wp:anchor distT="0" distB="0" distL="114300" distR="114300" simplePos="0" relativeHeight="251666432" behindDoc="0" locked="0" layoutInCell="1" hidden="0" allowOverlap="1" wp14:anchorId="03EC9F0F" wp14:editId="279EAC56">
          <wp:simplePos x="0" y="0"/>
          <wp:positionH relativeFrom="column">
            <wp:posOffset>-1390650</wp:posOffset>
          </wp:positionH>
          <wp:positionV relativeFrom="paragraph">
            <wp:posOffset>-304799</wp:posOffset>
          </wp:positionV>
          <wp:extent cx="827593" cy="729712"/>
          <wp:effectExtent l="0" t="0" r="0" b="0"/>
          <wp:wrapNone/>
          <wp:docPr id="1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7593" cy="7297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08F5">
      <w:rPr>
        <w:noProof/>
        <w:sz w:val="20"/>
        <w:szCs w:val="20"/>
        <w:lang w:val="es-419" w:eastAsia="es-419"/>
      </w:rPr>
      <w:drawing>
        <wp:anchor distT="0" distB="0" distL="114300" distR="114300" simplePos="0" relativeHeight="251667456" behindDoc="0" locked="0" layoutInCell="1" hidden="0" allowOverlap="1" wp14:anchorId="0D462754" wp14:editId="575F6AF3">
          <wp:simplePos x="0" y="0"/>
          <wp:positionH relativeFrom="column">
            <wp:posOffset>-1390649</wp:posOffset>
          </wp:positionH>
          <wp:positionV relativeFrom="paragraph">
            <wp:posOffset>771525</wp:posOffset>
          </wp:positionV>
          <wp:extent cx="848360" cy="342900"/>
          <wp:effectExtent l="0" t="0" r="0" b="0"/>
          <wp:wrapSquare wrapText="bothSides" distT="0" distB="0" distL="114300" distR="114300"/>
          <wp:docPr id="15" name="image6.png" descr="Colaborá con Libertad y Progreso - Fundación Libertad Y Progres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Colaborá con Libertad y Progreso - Fundación Libertad Y Progreso"/>
                  <pic:cNvPicPr preferRelativeResize="0"/>
                </pic:nvPicPr>
                <pic:blipFill>
                  <a:blip r:embed="rId2"/>
                  <a:srcRect l="25959" t="24303" r="7277" b="6831"/>
                  <a:stretch>
                    <a:fillRect/>
                  </a:stretch>
                </pic:blipFill>
                <pic:spPr>
                  <a:xfrm>
                    <a:off x="0" y="0"/>
                    <a:ext cx="848360" cy="342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08F5">
      <w:rPr>
        <w:rFonts w:ascii="Open Sans" w:hAnsi="Open Sans" w:eastAsia="Open Sans" w:cs="Open Sans"/>
        <w:b/>
        <w:color w:val="808080" w:themeColor="background1" w:themeShade="80"/>
        <w:sz w:val="20"/>
        <w:szCs w:val="20"/>
      </w:rPr>
      <w:tab/>
    </w:r>
    <w:r w:rsidRPr="001F08F5">
      <w:rPr>
        <w:rFonts w:ascii="Open Sans" w:hAnsi="Open Sans" w:eastAsia="Open Sans" w:cs="Open Sans"/>
        <w:b/>
        <w:color w:val="808080" w:themeColor="background1" w:themeShade="80"/>
        <w:sz w:val="20"/>
        <w:szCs w:val="20"/>
      </w:rPr>
      <w:tab/>
    </w:r>
    <w:r w:rsidR="009B3EA8">
      <w:rPr>
        <w:rFonts w:ascii="Open Sans" w:hAnsi="Open Sans" w:eastAsia="Open Sans" w:cs="Open Sans"/>
        <w:b/>
        <w:color w:val="808080" w:themeColor="background1" w:themeShade="80"/>
        <w:sz w:val="20"/>
        <w:szCs w:val="20"/>
      </w:rPr>
      <w:tab/>
    </w:r>
    <w:r w:rsidR="009B3EA8">
      <w:rPr>
        <w:rFonts w:ascii="Open Sans" w:hAnsi="Open Sans" w:eastAsia="Open Sans" w:cs="Open Sans"/>
        <w:b/>
        <w:color w:val="808080" w:themeColor="background1" w:themeShade="80"/>
        <w:sz w:val="20"/>
        <w:szCs w:val="20"/>
      </w:rPr>
      <w:tab/>
    </w:r>
    <w:r w:rsidR="009B3EA8">
      <w:rPr>
        <w:rFonts w:ascii="Open Sans" w:hAnsi="Open Sans" w:eastAsia="Open Sans" w:cs="Open Sans"/>
        <w:b/>
        <w:color w:val="808080" w:themeColor="background1" w:themeShade="80"/>
        <w:sz w:val="20"/>
        <w:szCs w:val="20"/>
      </w:rPr>
      <w:t xml:space="preserve">         </w:t>
    </w:r>
    <w:r w:rsidR="0035502A">
      <w:rPr>
        <w:rFonts w:ascii="Open Sans" w:hAnsi="Open Sans" w:eastAsia="Open Sans" w:cs="Open Sans"/>
        <w:b/>
        <w:color w:val="808080" w:themeColor="background1" w:themeShade="80"/>
        <w:sz w:val="20"/>
        <w:szCs w:val="20"/>
      </w:rPr>
      <w:t>Junio</w:t>
    </w:r>
    <w:r w:rsidRPr="001F08F5">
      <w:rPr>
        <w:rFonts w:ascii="Open Sans" w:hAnsi="Open Sans" w:eastAsia="Open Sans" w:cs="Open Sans"/>
        <w:b/>
        <w:color w:val="808080" w:themeColor="background1" w:themeShade="80"/>
        <w:sz w:val="20"/>
        <w:szCs w:val="20"/>
      </w:rPr>
      <w:t xml:space="preserve"> 202</w:t>
    </w:r>
    <w:r w:rsidR="009D36B3">
      <w:rPr>
        <w:noProof/>
        <w:lang w:val="es-419" w:eastAsia="es-419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FFD0720" wp14:editId="0907423A">
              <wp:simplePos x="0" y="0"/>
              <wp:positionH relativeFrom="column">
                <wp:posOffset>-1390649</wp:posOffset>
              </wp:positionH>
              <wp:positionV relativeFrom="paragraph">
                <wp:posOffset>-457199</wp:posOffset>
              </wp:positionV>
              <wp:extent cx="826135" cy="91503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6135" cy="915035"/>
                      </a:xfrm>
                      <a:prstGeom prst="rect">
                        <a:avLst/>
                      </a:prstGeom>
                      <a:solidFill>
                        <a:srgbClr val="DB003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114300" distR="114300" simplePos="0" relativeHeight="0" behindDoc="0" locked="0" layoutInCell="1" hidden="0" allowOverlap="1" wp14:anchorId="2428E409" wp14:editId="7777777">
              <wp:simplePos x="0" y="0"/>
              <wp:positionH relativeFrom="column">
                <wp:posOffset>-1390649</wp:posOffset>
              </wp:positionH>
              <wp:positionV relativeFrom="paragraph">
                <wp:posOffset>-457199</wp:posOffset>
              </wp:positionV>
              <wp:extent cx="826135" cy="915035"/>
              <wp:effectExtent l="0" t="0" r="0" b="0"/>
              <wp:wrapNone/>
              <wp:docPr id="128135148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 l="0" t="0" r="0" b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6135" cy="9150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9D36B3">
      <w:rPr>
        <w:noProof/>
        <w:lang w:val="es-419" w:eastAsia="es-419"/>
      </w:rPr>
      <w:drawing>
        <wp:anchor distT="0" distB="0" distL="114300" distR="114300" simplePos="0" relativeHeight="251659264" behindDoc="0" locked="0" layoutInCell="1" hidden="0" allowOverlap="1" wp14:anchorId="76845840" wp14:editId="4E3A7D65">
          <wp:simplePos x="0" y="0"/>
          <wp:positionH relativeFrom="column">
            <wp:posOffset>-1390650</wp:posOffset>
          </wp:positionH>
          <wp:positionV relativeFrom="paragraph">
            <wp:posOffset>-304799</wp:posOffset>
          </wp:positionV>
          <wp:extent cx="827593" cy="729712"/>
          <wp:effectExtent l="0" t="0" r="0" b="0"/>
          <wp:wrapNone/>
          <wp:docPr id="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7593" cy="7297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9D36B3">
      <w:rPr>
        <w:noProof/>
        <w:lang w:val="es-419" w:eastAsia="es-419"/>
      </w:rPr>
      <w:drawing>
        <wp:anchor distT="0" distB="0" distL="114300" distR="114300" simplePos="0" relativeHeight="251660288" behindDoc="0" locked="0" layoutInCell="1" hidden="0" allowOverlap="1" wp14:anchorId="34E96621" wp14:editId="78FFE30A">
          <wp:simplePos x="0" y="0"/>
          <wp:positionH relativeFrom="column">
            <wp:posOffset>-1390649</wp:posOffset>
          </wp:positionH>
          <wp:positionV relativeFrom="paragraph">
            <wp:posOffset>771525</wp:posOffset>
          </wp:positionV>
          <wp:extent cx="848360" cy="342900"/>
          <wp:effectExtent l="0" t="0" r="0" b="0"/>
          <wp:wrapSquare wrapText="bothSides" distT="0" distB="0" distL="114300" distR="114300"/>
          <wp:docPr id="6" name="image6.png" descr="Colaborá con Libertad y Progreso - Fundación Libertad Y Progres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Colaborá con Libertad y Progreso - Fundación Libertad Y Progreso"/>
                  <pic:cNvPicPr preferRelativeResize="0"/>
                </pic:nvPicPr>
                <pic:blipFill>
                  <a:blip r:embed="rId2"/>
                  <a:srcRect l="25959" t="24303" r="7277" b="6831"/>
                  <a:stretch>
                    <a:fillRect/>
                  </a:stretch>
                </pic:blipFill>
                <pic:spPr>
                  <a:xfrm>
                    <a:off x="0" y="0"/>
                    <a:ext cx="848360" cy="342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810E02">
      <w:rPr>
        <w:rFonts w:ascii="Open Sans" w:hAnsi="Open Sans" w:eastAsia="Open Sans" w:cs="Open Sans"/>
        <w:b/>
        <w:color w:val="808080" w:themeColor="background1" w:themeShade="80"/>
        <w:sz w:val="20"/>
        <w:szCs w:val="20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7AEA"/>
    <w:multiLevelType w:val="hybridMultilevel"/>
    <w:tmpl w:val="8A1848D6"/>
    <w:lvl w:ilvl="0" w:tplc="580A0001">
      <w:start w:val="1"/>
      <w:numFmt w:val="bullet"/>
      <w:lvlText w:val=""/>
      <w:lvlJc w:val="left"/>
      <w:pPr>
        <w:ind w:left="2421" w:hanging="360"/>
      </w:pPr>
      <w:rPr>
        <w:rFonts w:hint="default" w:ascii="Symbol" w:hAnsi="Symbol"/>
      </w:rPr>
    </w:lvl>
    <w:lvl w:ilvl="1" w:tplc="580A0003" w:tentative="1">
      <w:start w:val="1"/>
      <w:numFmt w:val="bullet"/>
      <w:lvlText w:val="o"/>
      <w:lvlJc w:val="left"/>
      <w:pPr>
        <w:ind w:left="3141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3861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4581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5301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6021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6741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7461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8181" w:hanging="360"/>
      </w:pPr>
      <w:rPr>
        <w:rFonts w:hint="default" w:ascii="Wingdings" w:hAnsi="Wingdings"/>
      </w:rPr>
    </w:lvl>
  </w:abstractNum>
  <w:abstractNum w:abstractNumId="1" w15:restartNumberingAfterBreak="0">
    <w:nsid w:val="14484313"/>
    <w:multiLevelType w:val="hybridMultilevel"/>
    <w:tmpl w:val="052E1770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33315621">
    <w:abstractNumId w:val="0"/>
  </w:num>
  <w:num w:numId="2" w16cid:durableId="3520293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7EE"/>
    <w:rsid w:val="0000752D"/>
    <w:rsid w:val="0004018B"/>
    <w:rsid w:val="00055F43"/>
    <w:rsid w:val="000A20E3"/>
    <w:rsid w:val="000B7F2B"/>
    <w:rsid w:val="000C1ED9"/>
    <w:rsid w:val="000D51FA"/>
    <w:rsid w:val="000E12DE"/>
    <w:rsid w:val="000E4C12"/>
    <w:rsid w:val="000E5EDF"/>
    <w:rsid w:val="000E627A"/>
    <w:rsid w:val="000F2E96"/>
    <w:rsid w:val="001037BA"/>
    <w:rsid w:val="00103C02"/>
    <w:rsid w:val="00121C7D"/>
    <w:rsid w:val="00135212"/>
    <w:rsid w:val="001472AF"/>
    <w:rsid w:val="00163E83"/>
    <w:rsid w:val="00187188"/>
    <w:rsid w:val="00191068"/>
    <w:rsid w:val="001B1201"/>
    <w:rsid w:val="001B5BBD"/>
    <w:rsid w:val="001B7C74"/>
    <w:rsid w:val="001D5AE1"/>
    <w:rsid w:val="001F510D"/>
    <w:rsid w:val="001F55AF"/>
    <w:rsid w:val="001F60CF"/>
    <w:rsid w:val="001F6740"/>
    <w:rsid w:val="00203170"/>
    <w:rsid w:val="00203E17"/>
    <w:rsid w:val="00210474"/>
    <w:rsid w:val="00226B46"/>
    <w:rsid w:val="00227578"/>
    <w:rsid w:val="00234E37"/>
    <w:rsid w:val="002378BC"/>
    <w:rsid w:val="00244C6B"/>
    <w:rsid w:val="002502A3"/>
    <w:rsid w:val="00254EE9"/>
    <w:rsid w:val="002643B5"/>
    <w:rsid w:val="002653FD"/>
    <w:rsid w:val="00287C91"/>
    <w:rsid w:val="00297862"/>
    <w:rsid w:val="002A69D7"/>
    <w:rsid w:val="002A7DE5"/>
    <w:rsid w:val="002B5899"/>
    <w:rsid w:val="002C38B0"/>
    <w:rsid w:val="002D6070"/>
    <w:rsid w:val="00301B78"/>
    <w:rsid w:val="00301F5B"/>
    <w:rsid w:val="0030498B"/>
    <w:rsid w:val="00310654"/>
    <w:rsid w:val="0031336F"/>
    <w:rsid w:val="00313C81"/>
    <w:rsid w:val="00316C68"/>
    <w:rsid w:val="00342D98"/>
    <w:rsid w:val="00347338"/>
    <w:rsid w:val="0035502A"/>
    <w:rsid w:val="00355147"/>
    <w:rsid w:val="00360C33"/>
    <w:rsid w:val="00377F02"/>
    <w:rsid w:val="00387088"/>
    <w:rsid w:val="00394D56"/>
    <w:rsid w:val="00396BD4"/>
    <w:rsid w:val="003A09DC"/>
    <w:rsid w:val="003A3D4B"/>
    <w:rsid w:val="003B13D1"/>
    <w:rsid w:val="003E5A50"/>
    <w:rsid w:val="003F0501"/>
    <w:rsid w:val="004058FE"/>
    <w:rsid w:val="004262D8"/>
    <w:rsid w:val="0042750F"/>
    <w:rsid w:val="00447B8B"/>
    <w:rsid w:val="00451CBE"/>
    <w:rsid w:val="0046174B"/>
    <w:rsid w:val="00463066"/>
    <w:rsid w:val="0046622E"/>
    <w:rsid w:val="00487304"/>
    <w:rsid w:val="004B753A"/>
    <w:rsid w:val="004C139B"/>
    <w:rsid w:val="004C74B5"/>
    <w:rsid w:val="004D190E"/>
    <w:rsid w:val="004D6B65"/>
    <w:rsid w:val="004D7806"/>
    <w:rsid w:val="00542027"/>
    <w:rsid w:val="005565BE"/>
    <w:rsid w:val="00560604"/>
    <w:rsid w:val="00565DFF"/>
    <w:rsid w:val="005705EB"/>
    <w:rsid w:val="0058153D"/>
    <w:rsid w:val="00581E79"/>
    <w:rsid w:val="0058325B"/>
    <w:rsid w:val="005B59F3"/>
    <w:rsid w:val="005F02A6"/>
    <w:rsid w:val="005F39F2"/>
    <w:rsid w:val="00614375"/>
    <w:rsid w:val="0065066B"/>
    <w:rsid w:val="006507BE"/>
    <w:rsid w:val="00653E60"/>
    <w:rsid w:val="0066060A"/>
    <w:rsid w:val="006A7DBD"/>
    <w:rsid w:val="006B2BA8"/>
    <w:rsid w:val="006B6313"/>
    <w:rsid w:val="006B6F30"/>
    <w:rsid w:val="006C0527"/>
    <w:rsid w:val="006D67CE"/>
    <w:rsid w:val="00712256"/>
    <w:rsid w:val="007200EB"/>
    <w:rsid w:val="00781588"/>
    <w:rsid w:val="00784400"/>
    <w:rsid w:val="0079022C"/>
    <w:rsid w:val="00790A7E"/>
    <w:rsid w:val="007974F0"/>
    <w:rsid w:val="007B1D59"/>
    <w:rsid w:val="007E720C"/>
    <w:rsid w:val="007F0FF9"/>
    <w:rsid w:val="00807A60"/>
    <w:rsid w:val="00810E02"/>
    <w:rsid w:val="00826252"/>
    <w:rsid w:val="008351B2"/>
    <w:rsid w:val="008421F1"/>
    <w:rsid w:val="00842C6C"/>
    <w:rsid w:val="0085000F"/>
    <w:rsid w:val="00851002"/>
    <w:rsid w:val="00866B2B"/>
    <w:rsid w:val="00873D76"/>
    <w:rsid w:val="00885224"/>
    <w:rsid w:val="008908CA"/>
    <w:rsid w:val="00891D64"/>
    <w:rsid w:val="008A3E6D"/>
    <w:rsid w:val="008B3574"/>
    <w:rsid w:val="008B5D75"/>
    <w:rsid w:val="008B763B"/>
    <w:rsid w:val="008F36C3"/>
    <w:rsid w:val="009043D6"/>
    <w:rsid w:val="009078BD"/>
    <w:rsid w:val="0092318B"/>
    <w:rsid w:val="00930944"/>
    <w:rsid w:val="0095138C"/>
    <w:rsid w:val="00955FA3"/>
    <w:rsid w:val="00962CF7"/>
    <w:rsid w:val="009658BB"/>
    <w:rsid w:val="00971E54"/>
    <w:rsid w:val="009B3EA8"/>
    <w:rsid w:val="009B51E2"/>
    <w:rsid w:val="009C432F"/>
    <w:rsid w:val="009D36B3"/>
    <w:rsid w:val="00A05D49"/>
    <w:rsid w:val="00A53109"/>
    <w:rsid w:val="00A57867"/>
    <w:rsid w:val="00AC6393"/>
    <w:rsid w:val="00AD0207"/>
    <w:rsid w:val="00AD1554"/>
    <w:rsid w:val="00AE5070"/>
    <w:rsid w:val="00AE5CEE"/>
    <w:rsid w:val="00B117F0"/>
    <w:rsid w:val="00B16FC3"/>
    <w:rsid w:val="00B373AE"/>
    <w:rsid w:val="00B37EA2"/>
    <w:rsid w:val="00B63C10"/>
    <w:rsid w:val="00B66016"/>
    <w:rsid w:val="00B81215"/>
    <w:rsid w:val="00BA462B"/>
    <w:rsid w:val="00BA57FA"/>
    <w:rsid w:val="00BC36C7"/>
    <w:rsid w:val="00BD1CAE"/>
    <w:rsid w:val="00BD1DB3"/>
    <w:rsid w:val="00BE242E"/>
    <w:rsid w:val="00C17C59"/>
    <w:rsid w:val="00C208BB"/>
    <w:rsid w:val="00C460E7"/>
    <w:rsid w:val="00C50EE6"/>
    <w:rsid w:val="00C6032B"/>
    <w:rsid w:val="00C60FED"/>
    <w:rsid w:val="00C6380B"/>
    <w:rsid w:val="00C8070D"/>
    <w:rsid w:val="00CA48FD"/>
    <w:rsid w:val="00CA720F"/>
    <w:rsid w:val="00CB3634"/>
    <w:rsid w:val="00CD496B"/>
    <w:rsid w:val="00CD6E0F"/>
    <w:rsid w:val="00CE0881"/>
    <w:rsid w:val="00CE0EFF"/>
    <w:rsid w:val="00CE145E"/>
    <w:rsid w:val="00CE6F97"/>
    <w:rsid w:val="00D238F6"/>
    <w:rsid w:val="00D24284"/>
    <w:rsid w:val="00D57E00"/>
    <w:rsid w:val="00D71056"/>
    <w:rsid w:val="00D76C53"/>
    <w:rsid w:val="00D806F2"/>
    <w:rsid w:val="00DC1563"/>
    <w:rsid w:val="00DC5F92"/>
    <w:rsid w:val="00DE312D"/>
    <w:rsid w:val="00DF7D0B"/>
    <w:rsid w:val="00E064BC"/>
    <w:rsid w:val="00E07379"/>
    <w:rsid w:val="00E40092"/>
    <w:rsid w:val="00E41014"/>
    <w:rsid w:val="00E42106"/>
    <w:rsid w:val="00E53818"/>
    <w:rsid w:val="00E57957"/>
    <w:rsid w:val="00E90270"/>
    <w:rsid w:val="00E92EDB"/>
    <w:rsid w:val="00EA029D"/>
    <w:rsid w:val="00EB67EE"/>
    <w:rsid w:val="00EC7D20"/>
    <w:rsid w:val="00EF1FEC"/>
    <w:rsid w:val="00F008B8"/>
    <w:rsid w:val="00F043EA"/>
    <w:rsid w:val="00F337FC"/>
    <w:rsid w:val="00F73F9F"/>
    <w:rsid w:val="00F77CBB"/>
    <w:rsid w:val="00F85134"/>
    <w:rsid w:val="00F91BB3"/>
    <w:rsid w:val="00FA3EC0"/>
    <w:rsid w:val="00FA3F93"/>
    <w:rsid w:val="00FA5AD4"/>
    <w:rsid w:val="00FB44D1"/>
    <w:rsid w:val="00FD319E"/>
    <w:rsid w:val="00FD39DB"/>
    <w:rsid w:val="00FE154F"/>
    <w:rsid w:val="00FE2A00"/>
    <w:rsid w:val="00FF3475"/>
    <w:rsid w:val="3B2A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659A47"/>
  <w15:docId w15:val="{0593A561-8F4C-4F94-9096-DF66898790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FF3475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F3475"/>
  </w:style>
  <w:style w:type="paragraph" w:styleId="Piedepgina">
    <w:name w:val="footer"/>
    <w:basedOn w:val="Normal"/>
    <w:link w:val="PiedepginaCar"/>
    <w:uiPriority w:val="99"/>
    <w:unhideWhenUsed/>
    <w:rsid w:val="00FF3475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F3475"/>
  </w:style>
  <w:style w:type="paragraph" w:styleId="Prrafodelista">
    <w:name w:val="List Paragraph"/>
    <w:basedOn w:val="Normal"/>
    <w:uiPriority w:val="34"/>
    <w:qFormat/>
    <w:rsid w:val="002A69D7"/>
    <w:pPr>
      <w:ind w:left="720"/>
      <w:contextualSpacing/>
    </w:pPr>
    <w:rPr>
      <w:rFonts w:asciiTheme="minorHAnsi" w:hAnsiTheme="minorHAnsi" w:eastAsiaTheme="minorHAnsi" w:cstheme="minorBidi"/>
      <w:lang w:val="es-ES"/>
    </w:rPr>
  </w:style>
  <w:style w:type="paragraph" w:styleId="NormalWeb">
    <w:name w:val="Normal (Web)"/>
    <w:basedOn w:val="Normal"/>
    <w:uiPriority w:val="99"/>
    <w:unhideWhenUsed/>
    <w:rsid w:val="00360C3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AR"/>
    </w:rPr>
  </w:style>
  <w:style w:type="character" w:styleId="Refdecomentario">
    <w:name w:val="annotation reference"/>
    <w:basedOn w:val="Fuentedeprrafopredeter"/>
    <w:uiPriority w:val="99"/>
    <w:semiHidden/>
    <w:unhideWhenUsed/>
    <w:rsid w:val="00CE145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E145E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CE145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E145E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CE145E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C139B"/>
    <w:pPr>
      <w:spacing w:after="0" w:line="240" w:lineRule="auto"/>
    </w:pPr>
  </w:style>
  <w:style w:type="paragraph" w:styleId="Textonotapie1" w:customStyle="1">
    <w:name w:val="Texto nota pie1"/>
    <w:basedOn w:val="Normal"/>
    <w:next w:val="Textonotapie"/>
    <w:link w:val="TextonotapieCar"/>
    <w:uiPriority w:val="99"/>
    <w:semiHidden/>
    <w:unhideWhenUsed/>
    <w:rsid w:val="00A53109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1"/>
    <w:uiPriority w:val="99"/>
    <w:semiHidden/>
    <w:rsid w:val="00A5310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53109"/>
    <w:rPr>
      <w:vertAlign w:val="superscript"/>
    </w:rPr>
  </w:style>
  <w:style w:type="character" w:styleId="Hipervnculo1" w:customStyle="1">
    <w:name w:val="Hipervínculo1"/>
    <w:basedOn w:val="Fuentedeprrafopredeter"/>
    <w:uiPriority w:val="99"/>
    <w:unhideWhenUsed/>
    <w:rsid w:val="00A53109"/>
    <w:rPr>
      <w:color w:val="0563C1"/>
      <w:u w:val="single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A53109"/>
    <w:pPr>
      <w:spacing w:after="0" w:line="240" w:lineRule="auto"/>
    </w:pPr>
    <w:rPr>
      <w:rFonts w:cs="Times New Roman"/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notapie">
    <w:name w:val="footnote text"/>
    <w:basedOn w:val="Normal"/>
    <w:link w:val="TextonotapieCar1"/>
    <w:uiPriority w:val="99"/>
    <w:semiHidden/>
    <w:unhideWhenUsed/>
    <w:rsid w:val="00A53109"/>
    <w:pPr>
      <w:spacing w:after="0" w:line="240" w:lineRule="auto"/>
    </w:pPr>
    <w:rPr>
      <w:sz w:val="20"/>
      <w:szCs w:val="20"/>
    </w:rPr>
  </w:style>
  <w:style w:type="character" w:styleId="TextonotapieCar1" w:customStyle="1">
    <w:name w:val="Texto nota pie Car1"/>
    <w:basedOn w:val="Fuentedeprrafopredeter"/>
    <w:link w:val="Textonotapie"/>
    <w:uiPriority w:val="99"/>
    <w:semiHidden/>
    <w:rsid w:val="00A53109"/>
    <w:rPr>
      <w:sz w:val="20"/>
      <w:szCs w:val="20"/>
    </w:rPr>
  </w:style>
  <w:style w:type="table" w:styleId="Tablaconcuadrcula">
    <w:name w:val="Table Grid"/>
    <w:basedOn w:val="Tablanormal"/>
    <w:uiPriority w:val="39"/>
    <w:rsid w:val="00A531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basedOn w:val="Fuentedeprrafopredeter"/>
    <w:uiPriority w:val="99"/>
    <w:unhideWhenUsed/>
    <w:rsid w:val="00394D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4D5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F05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30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F3D50-7D1A-4865-BFE5-2AE2530FC86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HP</dc:creator>
  <lastModifiedBy>Thiago Paradela</lastModifiedBy>
  <revision>23</revision>
  <lastPrinted>2024-09-12T19:30:00.0000000Z</lastPrinted>
  <dcterms:created xsi:type="dcterms:W3CDTF">2024-09-17T17:58:00.0000000Z</dcterms:created>
  <dcterms:modified xsi:type="dcterms:W3CDTF">2026-06-22T21:08:06.6105471Z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ffc068bd2e02df4eeb8795c9e65fe78f41b55f45276d1d0e36ffc4546ebb0bd9</vt:lpwstr>
  </property>
</Properties>
</file>