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before="0" w:line="276" w:lineRule="auto"/>
      </w:pPr>
      <w:r>
        <w:rPr>
          <w:rFonts w:ascii="Open Sans" w:hAnsi="Open Sans" w:cs="Open Sans"/>
          <w:b/>
          <w:i w:val="0"/>
          <w:color w:val="FF0000"/>
          <w:sz w:val="40"/>
        </w:rPr>
        <w:t>PROYECTO DE RADAR DE EVENTOS INSTITUCIONALES</w:t>
      </w:r>
    </w:p>
    <w:p>
      <w:pPr>
        <w:spacing w:after="160" w:before="0" w:line="276" w:lineRule="auto"/>
        <w:pBdr>
          <w:bottom w:val="single" w:sz="6" w:space="2" w:color="C8102E"/>
        </w:pBdr>
      </w:pPr>
      <w:r>
        <w:rPr>
          <w:rFonts w:ascii="Open Sans" w:hAnsi="Open Sans" w:cs="Open Sans"/>
          <w:b w:val="0"/>
          <w:i/>
          <w:color w:val="777777"/>
          <w:sz w:val="18"/>
        </w:rPr>
        <w:t>Departamento de Políticas Públicas — Fundación Libertad y Progreso · Junio 2026</w:t>
      </w:r>
    </w:p>
    <w:p>
      <w:pPr>
        <w:spacing w:after="120" w:before="240" w:line="276" w:lineRule="auto"/>
      </w:pPr>
      <w:r>
        <w:rPr>
          <w:rFonts w:ascii="Open Sans" w:hAnsi="Open Sans" w:cs="Open Sans"/>
          <w:b/>
          <w:i w:val="0"/>
          <w:color w:val="FF0000"/>
          <w:sz w:val="26"/>
        </w:rPr>
        <w:t>1. La idea</w:t>
      </w:r>
    </w:p>
    <w:p>
      <w:pPr>
        <w:spacing w:after="120" w:before="0" w:line="276" w:lineRule="auto"/>
      </w:pPr>
      <w:r>
        <w:rPr>
          <w:rFonts w:ascii="Open Sans" w:hAnsi="Open Sans" w:cs="Open Sans"/>
          <w:b w:val="0"/>
          <w:i w:val="0"/>
          <w:color w:val="404040"/>
          <w:sz w:val="20"/>
        </w:rPr>
        <w:t>El Índice de Transparencia Republicana (ITR) mide la calidad republicana con 18 variables de dato duro, de forma determinística y auditable. Por diseño, mide dimensiones estructurales y recurrentes; los hechos puntuales se incorporan mediante flags manuales datados (como ocurrió con el cierre de la sala de prensa de Casa Rosada). El riesgo natural de todo índice es quedar ciego ante eventos institucionales relevantes que ninguna de sus variables esté capturando.</w:t>
      </w:r>
    </w:p>
    <w:p>
      <w:pPr>
        <w:spacing w:after="120" w:before="0" w:line="276" w:lineRule="auto"/>
      </w:pPr>
      <w:r>
        <w:rPr>
          <w:rFonts w:ascii="Open Sans" w:hAnsi="Open Sans" w:cs="Open Sans"/>
          <w:b w:val="0"/>
          <w:i w:val="0"/>
          <w:color w:val="404040"/>
          <w:sz w:val="20"/>
        </w:rPr>
        <w:t>El Radar de eventos institucionales es la respuesta a ese riesgo: una capa de EXPLORACIÓN —separada del índice— que rastrea, mes a mes, hechos que podrían constituir puntos ciegos, y los pone sobre la mesa del analista para decidir si corresponde incorporarlos. No es un nuevo índice ni una fuente del número publicado: es un sistema de vigilancia para mantener al ITR completo y vigente.</w:t>
      </w:r>
    </w:p>
    <w:p>
      <w:pPr>
        <w:spacing w:after="120" w:before="240" w:line="276" w:lineRule="auto"/>
      </w:pPr>
      <w:r>
        <w:rPr>
          <w:rFonts w:ascii="Open Sans" w:hAnsi="Open Sans" w:cs="Open Sans"/>
          <w:b/>
          <w:i w:val="0"/>
          <w:color w:val="FF0000"/>
          <w:sz w:val="26"/>
        </w:rPr>
        <w:t>2. Cómo funcionaría</w:t>
      </w:r>
    </w:p>
    <w:p>
      <w:pPr>
        <w:spacing w:after="100" w:before="0" w:line="276" w:lineRule="auto"/>
      </w:pPr>
      <w:r>
        <w:rPr>
          <w:rFonts w:ascii="Open Sans" w:hAnsi="Open Sans" w:cs="Open Sans"/>
          <w:b w:val="0"/>
          <w:i w:val="0"/>
          <w:color w:val="404040"/>
          <w:sz w:val="20"/>
        </w:rPr>
        <w:t>El circuito, de frecuencia mensual y pensado para correr en la nube, tiene cuatro pasos:</w:t>
      </w:r>
    </w:p>
    <w:p>
      <w:pPr>
        <w:spacing w:after="100" w:before="0" w:line="276" w:lineRule="auto"/>
      </w:pPr>
      <w:r>
        <w:rPr>
          <w:rFonts w:ascii="Open Sans" w:hAnsi="Open Sans" w:cs="Open Sans"/>
          <w:b/>
          <w:i w:val="0"/>
          <w:color w:val="404040"/>
          <w:sz w:val="20"/>
        </w:rPr>
        <w:t xml:space="preserve">(1) Barrido de fuentes. </w:t>
      </w:r>
      <w:r>
        <w:rPr>
          <w:rFonts w:ascii="Open Sans" w:hAnsi="Open Sans" w:cs="Open Sans"/>
          <w:b w:val="0"/>
          <w:i w:val="0"/>
          <w:color w:val="404040"/>
          <w:sz w:val="20"/>
        </w:rPr>
        <w:t>Boletín Oficial y normativa, Monitoreo FOPEA, actos de la CSJN / Consejo de la Magistratura / Senado, y noticias institucionales filtradas por una lista de temas por eje.</w:t>
      </w:r>
    </w:p>
    <w:p>
      <w:pPr>
        <w:spacing w:after="100" w:before="0" w:line="276" w:lineRule="auto"/>
      </w:pPr>
      <w:r>
        <w:rPr>
          <w:rFonts w:ascii="Open Sans" w:hAnsi="Open Sans" w:cs="Open Sans"/>
          <w:b/>
          <w:i w:val="0"/>
          <w:color w:val="404040"/>
          <w:sz w:val="20"/>
        </w:rPr>
        <w:t xml:space="preserve">(2) Clasificación (capa IA). </w:t>
      </w:r>
      <w:r>
        <w:rPr>
          <w:rFonts w:ascii="Open Sans" w:hAnsi="Open Sans" w:cs="Open Sans"/>
          <w:b w:val="0"/>
          <w:i w:val="0"/>
          <w:color w:val="404040"/>
          <w:sz w:val="20"/>
        </w:rPr>
        <w:t>Un modelo de lenguaje etiqueta cada evento candidato por eje y lo coteja contra la taxonomía de las 18 variables: ¿ya está cubierto, parcialmente cubierto o no cubierto?</w:t>
      </w:r>
    </w:p>
    <w:p>
      <w:pPr>
        <w:spacing w:after="100" w:before="0" w:line="276" w:lineRule="auto"/>
      </w:pPr>
      <w:r>
        <w:rPr>
          <w:rFonts w:ascii="Open Sans" w:hAnsi="Open Sans" w:cs="Open Sans"/>
          <w:b/>
          <w:i w:val="0"/>
          <w:color w:val="404040"/>
          <w:sz w:val="20"/>
        </w:rPr>
        <w:t xml:space="preserve">(3) Watchlist mensual. </w:t>
      </w:r>
      <w:r>
        <w:rPr>
          <w:rFonts w:ascii="Open Sans" w:hAnsi="Open Sans" w:cs="Open Sans"/>
          <w:b w:val="0"/>
          <w:i w:val="0"/>
          <w:color w:val="404040"/>
          <w:sz w:val="20"/>
        </w:rPr>
        <w:t>Un anexo con los eventos, su eje, el estado de cobertura y una recomendación, para revisión humana.</w:t>
      </w:r>
    </w:p>
    <w:p>
      <w:pPr>
        <w:spacing w:after="100" w:before="0" w:line="276" w:lineRule="auto"/>
      </w:pPr>
      <w:r>
        <w:rPr>
          <w:rFonts w:ascii="Open Sans" w:hAnsi="Open Sans" w:cs="Open Sans"/>
          <w:b/>
          <w:i w:val="0"/>
          <w:color w:val="404040"/>
          <w:sz w:val="20"/>
        </w:rPr>
        <w:t xml:space="preserve">(4) Decisión y gobernanza. </w:t>
      </w:r>
      <w:r>
        <w:rPr>
          <w:rFonts w:ascii="Open Sans" w:hAnsi="Open Sans" w:cs="Open Sans"/>
          <w:b w:val="0"/>
          <w:i w:val="0"/>
          <w:color w:val="404040"/>
          <w:sz w:val="20"/>
        </w:rPr>
        <w:t>El analista resuelve cada hallazgo: ya cubierto / merece una variable nueva con dato duro / merece un flag manual datado. Si es recurrente y hay dato duro, se construye una variable; si es discreto y documentado, se registra un flag con fuente y fecha.</w:t>
      </w:r>
    </w:p>
    <w:p>
      <w:pPr>
        <w:spacing w:after="120" w:before="240" w:line="276" w:lineRule="auto"/>
      </w:pPr>
      <w:r>
        <w:rPr>
          <w:rFonts w:ascii="Open Sans" w:hAnsi="Open Sans" w:cs="Open Sans"/>
          <w:b/>
          <w:i w:val="0"/>
          <w:color w:val="FF0000"/>
          <w:sz w:val="26"/>
        </w:rPr>
        <w:t>3. Principio rector (la línea que no se cruza)</w:t>
      </w:r>
    </w:p>
    <w:p>
      <w:pPr>
        <w:spacing w:after="120" w:before="0" w:line="276" w:lineRule="auto"/>
      </w:pPr>
      <w:r>
        <w:rPr>
          <w:rFonts w:ascii="Open Sans" w:hAnsi="Open Sans" w:cs="Open Sans"/>
          <w:b/>
          <w:i w:val="0"/>
          <w:color w:val="404040"/>
          <w:sz w:val="20"/>
        </w:rPr>
        <w:t xml:space="preserve">La IA y las noticias sirven solo para DESCUBRIR candidatos; nunca alimentan el número publicado. </w:t>
      </w:r>
      <w:r>
        <w:rPr>
          <w:rFonts w:ascii="Open Sans" w:hAnsi="Open Sans" w:cs="Open Sans"/>
          <w:b w:val="0"/>
          <w:i w:val="0"/>
          <w:color w:val="404040"/>
          <w:sz w:val="20"/>
        </w:rPr>
        <w:t>El valor del ITR se sigue calculando con conteos determinísticos sobre dato duro. El Radar informa el juicio humano sobre qué variables o flags incorporar —decisión que luego se implementa con la misma metodología auditable de siempre—. Esta separación es la condición de todo el proyecto: si se rompe, el Radar deja de ser un activo y pasa a ser un riesgo.</w:t>
      </w:r>
    </w:p>
    <w:p>
      <w:pPr>
        <w:spacing w:after="120" w:before="240" w:line="276" w:lineRule="auto"/>
      </w:pPr>
      <w:r>
        <w:rPr>
          <w:rFonts w:ascii="Open Sans" w:hAnsi="Open Sans" w:cs="Open Sans"/>
          <w:b/>
          <w:i w:val="0"/>
          <w:color w:val="FF0000"/>
          <w:sz w:val="26"/>
        </w:rPr>
        <w:t>4. Riesgos identificados</w:t>
      </w:r>
    </w:p>
    <w:p>
      <w:pPr>
        <w:spacing w:after="120" w:before="0" w:line="276" w:lineRule="auto"/>
      </w:pPr>
      <w:r>
        <w:rPr>
          <w:rFonts w:ascii="Open Sans" w:hAnsi="Open Sans" w:cs="Open Sans"/>
          <w:b w:val="0"/>
          <w:i w:val="0"/>
          <w:color w:val="404040"/>
          <w:sz w:val="20"/>
        </w:rPr>
        <w:t>Sometimos el proyecto a un premortem (análisis que asume que el Radar ya fracasó y reconstruye por qué). Surgieron siete modos de fallo:</w:t>
      </w:r>
    </w:p>
    <w:tbl>
      <w:tblPr>
        <w:tblStyle w:val="Tablaconcuadrcula"/>
        <w:tblW w:type="auto" w:w="0"/>
        <w:tblLook w:firstColumn="1" w:firstRow="1" w:lastColumn="0" w:lastRow="0" w:noHBand="0" w:noVBand="1" w:val="04A0"/>
      </w:tblPr>
      <w:tblGrid>
        <w:gridCol w:w="1991"/>
        <w:gridCol w:w="1991"/>
        <w:gridCol w:w="1991"/>
        <w:gridCol w:w="1991"/>
      </w:tblGrid>
      <w:tr>
        <w:tc>
          <w:tcPr>
            <w:tcW w:type="dxa" w:w="3600"/>
            <w:shd w:val="clear" w:fill="F2D9DC"/>
          </w:tcPr>
          <w:p>
            <w:pPr>
              <w:spacing w:after="0"/>
              <w:jc w:val="center"/>
            </w:pPr>
            <w:r/>
            <w:r>
              <w:rPr>
                <w:rFonts w:ascii="Open Sans" w:hAnsi="Open Sans" w:cs="Open Sans"/>
                <w:b/>
                <w:i w:val="0"/>
                <w:color w:val="404040"/>
                <w:sz w:val="17"/>
              </w:rPr>
              <w:t>Riesgo</w:t>
            </w:r>
          </w:p>
        </w:tc>
        <w:tc>
          <w:tcPr>
            <w:tcW w:type="dxa" w:w="1152"/>
            <w:shd w:val="clear" w:fill="F2D9DC"/>
          </w:tcPr>
          <w:p>
            <w:pPr>
              <w:spacing w:after="0"/>
              <w:jc w:val="center"/>
            </w:pPr>
            <w:r/>
            <w:r>
              <w:rPr>
                <w:rFonts w:ascii="Open Sans" w:hAnsi="Open Sans" w:cs="Open Sans"/>
                <w:b/>
                <w:i w:val="0"/>
                <w:color w:val="404040"/>
                <w:sz w:val="17"/>
              </w:rPr>
              <w:t>Prob.</w:t>
            </w:r>
          </w:p>
        </w:tc>
        <w:tc>
          <w:tcPr>
            <w:tcW w:type="dxa" w:w="1152"/>
            <w:shd w:val="clear" w:fill="F2D9DC"/>
          </w:tcPr>
          <w:p>
            <w:pPr>
              <w:spacing w:after="0"/>
              <w:jc w:val="center"/>
            </w:pPr>
            <w:r/>
            <w:r>
              <w:rPr>
                <w:rFonts w:ascii="Open Sans" w:hAnsi="Open Sans" w:cs="Open Sans"/>
                <w:b/>
                <w:i w:val="0"/>
                <w:color w:val="404040"/>
                <w:sz w:val="17"/>
              </w:rPr>
              <w:t>Daño</w:t>
            </w:r>
          </w:p>
        </w:tc>
        <w:tc>
          <w:tcPr>
            <w:tcW w:type="dxa" w:w="3456"/>
            <w:shd w:val="clear" w:fill="F2D9DC"/>
          </w:tcPr>
          <w:p>
            <w:pPr>
              <w:spacing w:after="0"/>
              <w:jc w:val="center"/>
            </w:pPr>
            <w:r/>
            <w:r>
              <w:rPr>
                <w:rFonts w:ascii="Open Sans" w:hAnsi="Open Sans" w:cs="Open Sans"/>
                <w:b/>
                <w:i w:val="0"/>
                <w:color w:val="404040"/>
                <w:sz w:val="17"/>
              </w:rPr>
              <w:t>Qué pasa si se materializa</w:t>
            </w:r>
          </w:p>
        </w:tc>
      </w:tr>
      <w:tr>
        <w:tc>
          <w:tcPr>
            <w:tcW w:type="dxa" w:w="3600"/>
          </w:tcPr>
          <w:p>
            <w:pPr>
              <w:spacing w:after="0"/>
              <w:jc w:val="left"/>
            </w:pPr>
            <w:r/>
            <w:r>
              <w:rPr>
                <w:rFonts w:ascii="Open Sans" w:hAnsi="Open Sans" w:cs="Open Sans"/>
                <w:b w:val="0"/>
                <w:i w:val="0"/>
                <w:color w:val="404040"/>
                <w:sz w:val="17"/>
              </w:rPr>
              <w:t>1. Contaminación del valor publicado</w:t>
            </w:r>
          </w:p>
        </w:tc>
        <w:tc>
          <w:tcPr>
            <w:tcW w:type="dxa" w:w="1152"/>
          </w:tcPr>
          <w:p>
            <w:pPr>
              <w:spacing w:after="0"/>
              <w:jc w:val="center"/>
            </w:pPr>
            <w:r/>
            <w:r>
              <w:rPr>
                <w:rFonts w:ascii="Open Sans" w:hAnsi="Open Sans" w:cs="Open Sans"/>
                <w:b w:val="0"/>
                <w:i w:val="0"/>
                <w:color w:val="404040"/>
                <w:sz w:val="17"/>
              </w:rPr>
              <w:t>Media</w:t>
            </w:r>
          </w:p>
        </w:tc>
        <w:tc>
          <w:tcPr>
            <w:tcW w:type="dxa" w:w="1152"/>
          </w:tcPr>
          <w:p>
            <w:pPr>
              <w:spacing w:after="0"/>
              <w:jc w:val="center"/>
            </w:pPr>
            <w:r/>
            <w:r>
              <w:rPr>
                <w:rFonts w:ascii="Open Sans" w:hAnsi="Open Sans" w:cs="Open Sans"/>
                <w:b w:val="0"/>
                <w:i w:val="0"/>
                <w:color w:val="404040"/>
                <w:sz w:val="17"/>
              </w:rPr>
              <w:t>Alto</w:t>
            </w:r>
          </w:p>
        </w:tc>
        <w:tc>
          <w:tcPr>
            <w:tcW w:type="dxa" w:w="3456"/>
          </w:tcPr>
          <w:p>
            <w:pPr>
              <w:spacing w:after="0"/>
              <w:jc w:val="left"/>
            </w:pPr>
            <w:r/>
            <w:r>
              <w:rPr>
                <w:rFonts w:ascii="Open Sans" w:hAnsi="Open Sans" w:cs="Open Sans"/>
                <w:b w:val="0"/>
                <w:i w:val="0"/>
                <w:color w:val="404040"/>
                <w:sz w:val="17"/>
              </w:rPr>
              <w:t>Flags apurados sin dato duro empiezan a mover el número; se pierde la reproducibilidad, que es la marca del índice.</w:t>
            </w:r>
          </w:p>
        </w:tc>
      </w:tr>
      <w:tr>
        <w:tc>
          <w:tcPr>
            <w:tcW w:type="dxa" w:w="3600"/>
          </w:tcPr>
          <w:p>
            <w:pPr>
              <w:spacing w:after="0"/>
              <w:jc w:val="left"/>
            </w:pPr>
            <w:r/>
            <w:r>
              <w:rPr>
                <w:rFonts w:ascii="Open Sans" w:hAnsi="Open Sans" w:cs="Open Sans"/>
                <w:b w:val="0"/>
                <w:i w:val="0"/>
                <w:color w:val="404040"/>
                <w:sz w:val="17"/>
              </w:rPr>
              <w:t>2. Ruido mayor que señal / fatiga</w:t>
            </w:r>
          </w:p>
        </w:tc>
        <w:tc>
          <w:tcPr>
            <w:tcW w:type="dxa" w:w="1152"/>
          </w:tcPr>
          <w:p>
            <w:pPr>
              <w:spacing w:after="0"/>
              <w:jc w:val="center"/>
            </w:pPr>
            <w:r/>
            <w:r>
              <w:rPr>
                <w:rFonts w:ascii="Open Sans" w:hAnsi="Open Sans" w:cs="Open Sans"/>
                <w:b w:val="0"/>
                <w:i w:val="0"/>
                <w:color w:val="404040"/>
                <w:sz w:val="17"/>
              </w:rPr>
              <w:t>Alta</w:t>
            </w:r>
          </w:p>
        </w:tc>
        <w:tc>
          <w:tcPr>
            <w:tcW w:type="dxa" w:w="1152"/>
          </w:tcPr>
          <w:p>
            <w:pPr>
              <w:spacing w:after="0"/>
              <w:jc w:val="center"/>
            </w:pPr>
            <w:r/>
            <w:r>
              <w:rPr>
                <w:rFonts w:ascii="Open Sans" w:hAnsi="Open Sans" w:cs="Open Sans"/>
                <w:b w:val="0"/>
                <w:i w:val="0"/>
                <w:color w:val="404040"/>
                <w:sz w:val="17"/>
              </w:rPr>
              <w:t>Medio</w:t>
            </w:r>
          </w:p>
        </w:tc>
        <w:tc>
          <w:tcPr>
            <w:tcW w:type="dxa" w:w="3456"/>
          </w:tcPr>
          <w:p>
            <w:pPr>
              <w:spacing w:after="0"/>
              <w:jc w:val="left"/>
            </w:pPr>
            <w:r/>
            <w:r>
              <w:rPr>
                <w:rFonts w:ascii="Open Sans" w:hAnsi="Open Sans" w:cs="Open Sans"/>
                <w:b w:val="0"/>
                <w:i w:val="0"/>
                <w:color w:val="404040"/>
                <w:sz w:val="17"/>
              </w:rPr>
              <w:t>Cientos de eventos duplicados o irrelevantes entierran los hallazgos reales; el anexo deja de leerse.</w:t>
            </w:r>
          </w:p>
        </w:tc>
      </w:tr>
      <w:tr>
        <w:tc>
          <w:tcPr>
            <w:tcW w:type="dxa" w:w="3600"/>
          </w:tcPr>
          <w:p>
            <w:pPr>
              <w:spacing w:after="0"/>
              <w:jc w:val="left"/>
            </w:pPr>
            <w:r/>
            <w:r>
              <w:rPr>
                <w:rFonts w:ascii="Open Sans" w:hAnsi="Open Sans" w:cs="Open Sans"/>
                <w:b w:val="0"/>
                <w:i w:val="0"/>
                <w:color w:val="404040"/>
                <w:sz w:val="17"/>
              </w:rPr>
              <w:t>3. Sesgo del clasificador (IA)</w:t>
            </w:r>
          </w:p>
        </w:tc>
        <w:tc>
          <w:tcPr>
            <w:tcW w:type="dxa" w:w="1152"/>
          </w:tcPr>
          <w:p>
            <w:pPr>
              <w:spacing w:after="0"/>
              <w:jc w:val="center"/>
            </w:pPr>
            <w:r/>
            <w:r>
              <w:rPr>
                <w:rFonts w:ascii="Open Sans" w:hAnsi="Open Sans" w:cs="Open Sans"/>
                <w:b w:val="0"/>
                <w:i w:val="0"/>
                <w:color w:val="404040"/>
                <w:sz w:val="17"/>
              </w:rPr>
              <w:t>Media</w:t>
            </w:r>
          </w:p>
        </w:tc>
        <w:tc>
          <w:tcPr>
            <w:tcW w:type="dxa" w:w="1152"/>
          </w:tcPr>
          <w:p>
            <w:pPr>
              <w:spacing w:after="0"/>
              <w:jc w:val="center"/>
            </w:pPr>
            <w:r/>
            <w:r>
              <w:rPr>
                <w:rFonts w:ascii="Open Sans" w:hAnsi="Open Sans" w:cs="Open Sans"/>
                <w:b w:val="0"/>
                <w:i w:val="0"/>
                <w:color w:val="404040"/>
                <w:sz w:val="17"/>
              </w:rPr>
              <w:t>Alto</w:t>
            </w:r>
          </w:p>
        </w:tc>
        <w:tc>
          <w:tcPr>
            <w:tcW w:type="dxa" w:w="3456"/>
          </w:tcPr>
          <w:p>
            <w:pPr>
              <w:spacing w:after="0"/>
              <w:jc w:val="left"/>
            </w:pPr>
            <w:r/>
            <w:r>
              <w:rPr>
                <w:rFonts w:ascii="Open Sans" w:hAnsi="Open Sans" w:cs="Open Sans"/>
                <w:b w:val="0"/>
                <w:i w:val="0"/>
                <w:color w:val="404040"/>
                <w:sz w:val="17"/>
              </w:rPr>
              <w:t>El modelo detecta más o menos según la gestión de turno; se cuestiona la neutralidad del ITR y de LyP.</w:t>
            </w:r>
          </w:p>
        </w:tc>
      </w:tr>
      <w:tr>
        <w:tc>
          <w:tcPr>
            <w:tcW w:type="dxa" w:w="3600"/>
          </w:tcPr>
          <w:p>
            <w:pPr>
              <w:spacing w:after="0"/>
              <w:jc w:val="left"/>
            </w:pPr>
            <w:r/>
            <w:r>
              <w:rPr>
                <w:rFonts w:ascii="Open Sans" w:hAnsi="Open Sans" w:cs="Open Sans"/>
                <w:b w:val="0"/>
                <w:i w:val="0"/>
                <w:color w:val="404040"/>
                <w:sz w:val="17"/>
              </w:rPr>
              <w:t>4. Fuente de noticias frágil/sesgada</w:t>
            </w:r>
          </w:p>
        </w:tc>
        <w:tc>
          <w:tcPr>
            <w:tcW w:type="dxa" w:w="1152"/>
          </w:tcPr>
          <w:p>
            <w:pPr>
              <w:spacing w:after="0"/>
              <w:jc w:val="center"/>
            </w:pPr>
            <w:r/>
            <w:r>
              <w:rPr>
                <w:rFonts w:ascii="Open Sans" w:hAnsi="Open Sans" w:cs="Open Sans"/>
                <w:b w:val="0"/>
                <w:i w:val="0"/>
                <w:color w:val="404040"/>
                <w:sz w:val="17"/>
              </w:rPr>
              <w:t>Media-alta</w:t>
            </w:r>
          </w:p>
        </w:tc>
        <w:tc>
          <w:tcPr>
            <w:tcW w:type="dxa" w:w="1152"/>
          </w:tcPr>
          <w:p>
            <w:pPr>
              <w:spacing w:after="0"/>
              <w:jc w:val="center"/>
            </w:pPr>
            <w:r/>
            <w:r>
              <w:rPr>
                <w:rFonts w:ascii="Open Sans" w:hAnsi="Open Sans" w:cs="Open Sans"/>
                <w:b w:val="0"/>
                <w:i w:val="0"/>
                <w:color w:val="404040"/>
                <w:sz w:val="17"/>
              </w:rPr>
              <w:t>Medio</w:t>
            </w:r>
          </w:p>
        </w:tc>
        <w:tc>
          <w:tcPr>
            <w:tcW w:type="dxa" w:w="3456"/>
          </w:tcPr>
          <w:p>
            <w:pPr>
              <w:spacing w:after="0"/>
              <w:jc w:val="left"/>
            </w:pPr>
            <w:r/>
            <w:r>
              <w:rPr>
                <w:rFonts w:ascii="Open Sans" w:hAnsi="Open Sans" w:cs="Open Sans"/>
                <w:b w:val="0"/>
                <w:i w:val="0"/>
                <w:color w:val="404040"/>
                <w:sz w:val="17"/>
              </w:rPr>
              <w:t>La API cambia precio, términos o cobertura y el Radar queda ciego o parcial (mismo patrón que Vigía/OpenArg).</w:t>
            </w:r>
          </w:p>
        </w:tc>
      </w:tr>
      <w:tr>
        <w:tc>
          <w:tcPr>
            <w:tcW w:type="dxa" w:w="3600"/>
          </w:tcPr>
          <w:p>
            <w:pPr>
              <w:spacing w:after="0"/>
              <w:jc w:val="left"/>
            </w:pPr>
            <w:r/>
            <w:r>
              <w:rPr>
                <w:rFonts w:ascii="Open Sans" w:hAnsi="Open Sans" w:cs="Open Sans"/>
                <w:b w:val="0"/>
                <w:i w:val="0"/>
                <w:color w:val="404040"/>
                <w:sz w:val="17"/>
              </w:rPr>
              <w:t>5. Gobernanza sin acción</w:t>
            </w:r>
          </w:p>
        </w:tc>
        <w:tc>
          <w:tcPr>
            <w:tcW w:type="dxa" w:w="1152"/>
          </w:tcPr>
          <w:p>
            <w:pPr>
              <w:spacing w:after="0"/>
              <w:jc w:val="center"/>
            </w:pPr>
            <w:r/>
            <w:r>
              <w:rPr>
                <w:rFonts w:ascii="Open Sans" w:hAnsi="Open Sans" w:cs="Open Sans"/>
                <w:b w:val="0"/>
                <w:i w:val="0"/>
                <w:color w:val="404040"/>
                <w:sz w:val="17"/>
              </w:rPr>
              <w:t>Alta</w:t>
            </w:r>
          </w:p>
        </w:tc>
        <w:tc>
          <w:tcPr>
            <w:tcW w:type="dxa" w:w="1152"/>
          </w:tcPr>
          <w:p>
            <w:pPr>
              <w:spacing w:after="0"/>
              <w:jc w:val="center"/>
            </w:pPr>
            <w:r/>
            <w:r>
              <w:rPr>
                <w:rFonts w:ascii="Open Sans" w:hAnsi="Open Sans" w:cs="Open Sans"/>
                <w:b w:val="0"/>
                <w:i w:val="0"/>
                <w:color w:val="404040"/>
                <w:sz w:val="17"/>
              </w:rPr>
              <w:t>Medio</w:t>
            </w:r>
          </w:p>
        </w:tc>
        <w:tc>
          <w:tcPr>
            <w:tcW w:type="dxa" w:w="3456"/>
          </w:tcPr>
          <w:p>
            <w:pPr>
              <w:spacing w:after="0"/>
              <w:jc w:val="left"/>
            </w:pPr>
            <w:r/>
            <w:r>
              <w:rPr>
                <w:rFonts w:ascii="Open Sans" w:hAnsi="Open Sans" w:cs="Open Sans"/>
                <w:b w:val="0"/>
                <w:i w:val="0"/>
                <w:color w:val="404040"/>
                <w:sz w:val="17"/>
              </w:rPr>
              <w:t>Los hallazgos no se convierten en variables; el índice no mejora pese a saber qué le falta.</w:t>
            </w:r>
          </w:p>
        </w:tc>
      </w:tr>
      <w:tr>
        <w:tc>
          <w:tcPr>
            <w:tcW w:type="dxa" w:w="3600"/>
          </w:tcPr>
          <w:p>
            <w:pPr>
              <w:spacing w:after="0"/>
              <w:jc w:val="left"/>
            </w:pPr>
            <w:r/>
            <w:r>
              <w:rPr>
                <w:rFonts w:ascii="Open Sans" w:hAnsi="Open Sans" w:cs="Open Sans"/>
                <w:b w:val="0"/>
                <w:i w:val="0"/>
                <w:color w:val="404040"/>
                <w:sz w:val="17"/>
              </w:rPr>
              <w:t>6. Atribución no verificada (legal)</w:t>
            </w:r>
          </w:p>
        </w:tc>
        <w:tc>
          <w:tcPr>
            <w:tcW w:type="dxa" w:w="1152"/>
          </w:tcPr>
          <w:p>
            <w:pPr>
              <w:spacing w:after="0"/>
              <w:jc w:val="center"/>
            </w:pPr>
            <w:r/>
            <w:r>
              <w:rPr>
                <w:rFonts w:ascii="Open Sans" w:hAnsi="Open Sans" w:cs="Open Sans"/>
                <w:b w:val="0"/>
                <w:i w:val="0"/>
                <w:color w:val="404040"/>
                <w:sz w:val="17"/>
              </w:rPr>
              <w:t>Media</w:t>
            </w:r>
          </w:p>
        </w:tc>
        <w:tc>
          <w:tcPr>
            <w:tcW w:type="dxa" w:w="1152"/>
          </w:tcPr>
          <w:p>
            <w:pPr>
              <w:spacing w:after="0"/>
              <w:jc w:val="center"/>
            </w:pPr>
            <w:r/>
            <w:r>
              <w:rPr>
                <w:rFonts w:ascii="Open Sans" w:hAnsi="Open Sans" w:cs="Open Sans"/>
                <w:b w:val="0"/>
                <w:i w:val="0"/>
                <w:color w:val="404040"/>
                <w:sz w:val="17"/>
              </w:rPr>
              <w:t>Crítico</w:t>
            </w:r>
          </w:p>
        </w:tc>
        <w:tc>
          <w:tcPr>
            <w:tcW w:type="dxa" w:w="3456"/>
          </w:tcPr>
          <w:p>
            <w:pPr>
              <w:spacing w:after="0"/>
              <w:jc w:val="left"/>
            </w:pPr>
            <w:r/>
            <w:r>
              <w:rPr>
                <w:rFonts w:ascii="Open Sans" w:hAnsi="Open Sans" w:cs="Open Sans"/>
                <w:b w:val="0"/>
                <w:i w:val="0"/>
                <w:color w:val="404040"/>
                <w:sz w:val="17"/>
              </w:rPr>
              <w:t>Una afirmación errónea o alucinada sobre una persona llega a un anexo público; demanda y daño reputacional al índice entero.</w:t>
            </w:r>
          </w:p>
        </w:tc>
      </w:tr>
      <w:tr>
        <w:tc>
          <w:tcPr>
            <w:tcW w:type="dxa" w:w="3600"/>
          </w:tcPr>
          <w:p>
            <w:pPr>
              <w:spacing w:after="0"/>
              <w:jc w:val="left"/>
            </w:pPr>
            <w:r/>
            <w:r>
              <w:rPr>
                <w:rFonts w:ascii="Open Sans" w:hAnsi="Open Sans" w:cs="Open Sans"/>
                <w:b w:val="0"/>
                <w:i w:val="0"/>
                <w:color w:val="404040"/>
                <w:sz w:val="17"/>
              </w:rPr>
              <w:t>7. Doble conteo / incoherencia</w:t>
            </w:r>
          </w:p>
        </w:tc>
        <w:tc>
          <w:tcPr>
            <w:tcW w:type="dxa" w:w="1152"/>
          </w:tcPr>
          <w:p>
            <w:pPr>
              <w:spacing w:after="0"/>
              <w:jc w:val="center"/>
            </w:pPr>
            <w:r/>
            <w:r>
              <w:rPr>
                <w:rFonts w:ascii="Open Sans" w:hAnsi="Open Sans" w:cs="Open Sans"/>
                <w:b w:val="0"/>
                <w:i w:val="0"/>
                <w:color w:val="404040"/>
                <w:sz w:val="17"/>
              </w:rPr>
              <w:t>Media</w:t>
            </w:r>
          </w:p>
        </w:tc>
        <w:tc>
          <w:tcPr>
            <w:tcW w:type="dxa" w:w="1152"/>
          </w:tcPr>
          <w:p>
            <w:pPr>
              <w:spacing w:after="0"/>
              <w:jc w:val="center"/>
            </w:pPr>
            <w:r/>
            <w:r>
              <w:rPr>
                <w:rFonts w:ascii="Open Sans" w:hAnsi="Open Sans" w:cs="Open Sans"/>
                <w:b w:val="0"/>
                <w:i w:val="0"/>
                <w:color w:val="404040"/>
                <w:sz w:val="17"/>
              </w:rPr>
              <w:t>Alto</w:t>
            </w:r>
          </w:p>
        </w:tc>
        <w:tc>
          <w:tcPr>
            <w:tcW w:type="dxa" w:w="3456"/>
          </w:tcPr>
          <w:p>
            <w:pPr>
              <w:spacing w:after="0"/>
              <w:jc w:val="left"/>
            </w:pPr>
            <w:r/>
            <w:r>
              <w:rPr>
                <w:rFonts w:ascii="Open Sans" w:hAnsi="Open Sans" w:cs="Open Sans"/>
                <w:b w:val="0"/>
                <w:i w:val="0"/>
                <w:color w:val="404040"/>
                <w:sz w:val="17"/>
              </w:rPr>
              <w:t>Un hecho ya medido se cuenta otra vez, o se agregan variables sin recalibrar pesos/anclas; la serie deja de ser comparable.</w:t>
            </w:r>
          </w:p>
        </w:tc>
      </w:tr>
    </w:tbl>
    <w:p>
      <w:pPr>
        <w:spacing w:after="120" w:before="80" w:line="276" w:lineRule="auto"/>
      </w:pPr>
      <w:r>
        <w:rPr>
          <w:rFonts w:ascii="Open Sans" w:hAnsi="Open Sans" w:cs="Open Sans"/>
          <w:b w:val="0"/>
          <w:i/>
          <w:color w:val="777777"/>
          <w:sz w:val="18"/>
        </w:rPr>
        <w:t>El fallo más probable es el ruido; el más peligroso, la atribución no verificada. El supuesto oculto detrás de varios: creer que la separación entre exploración y valor publicado se sostiene por diseño técnico, cuando en realidad es una disciplina de proceso que se erosiona bajo presión de tiempo.</w:t>
      </w:r>
    </w:p>
    <w:p>
      <w:pPr>
        <w:spacing w:after="120" w:before="240" w:line="276" w:lineRule="auto"/>
      </w:pPr>
      <w:r>
        <w:rPr>
          <w:rFonts w:ascii="Open Sans" w:hAnsi="Open Sans" w:cs="Open Sans"/>
          <w:b/>
          <w:i w:val="0"/>
          <w:color w:val="FF0000"/>
          <w:sz w:val="26"/>
        </w:rPr>
        <w:t>5. Mitigaciones posibles</w:t>
      </w:r>
    </w:p>
    <w:p>
      <w:pPr>
        <w:spacing w:after="100" w:before="0" w:line="276" w:lineRule="auto"/>
      </w:pPr>
      <w:r>
        <w:rPr>
          <w:rFonts w:ascii="Open Sans" w:hAnsi="Open Sans" w:cs="Open Sans"/>
          <w:b/>
          <w:i w:val="0"/>
          <w:color w:val="404040"/>
          <w:sz w:val="20"/>
        </w:rPr>
        <w:t xml:space="preserve">Firewall verificable (R1). </w:t>
      </w:r>
      <w:r>
        <w:rPr>
          <w:rFonts w:ascii="Open Sans" w:hAnsi="Open Sans" w:cs="Open Sans"/>
          <w:b w:val="0"/>
          <w:i w:val="0"/>
          <w:color w:val="404040"/>
          <w:sz w:val="20"/>
        </w:rPr>
        <w:t>El watchlist nunca toca el número y se prohíben los flags provisorios en la presentación. Test automático en cada cierre: recomputar el ITR desde las 18 variables y abortar la publicación si el valor publicado no coincide con el reconstruido.</w:t>
      </w:r>
    </w:p>
    <w:p>
      <w:pPr>
        <w:spacing w:after="100" w:before="0" w:line="276" w:lineRule="auto"/>
      </w:pPr>
      <w:r>
        <w:rPr>
          <w:rFonts w:ascii="Open Sans" w:hAnsi="Open Sans" w:cs="Open Sans"/>
          <w:b/>
          <w:i w:val="0"/>
          <w:color w:val="404040"/>
          <w:sz w:val="20"/>
        </w:rPr>
        <w:t xml:space="preserve">Precisión sobre exhaustividad (R2). </w:t>
      </w:r>
      <w:r>
        <w:rPr>
          <w:rFonts w:ascii="Open Sans" w:hAnsi="Open Sans" w:cs="Open Sans"/>
          <w:b w:val="0"/>
          <w:i w:val="0"/>
          <w:color w:val="404040"/>
          <w:sz w:val="20"/>
        </w:rPr>
        <w:t>Deduplicar por evento (no por noticia), aplicar un umbral de relevancia y un tope mensual de ítems (p. ej. ≤25 tras deduplicar). Medir qué porción del anexo se lee de verdad.</w:t>
      </w:r>
    </w:p>
    <w:p>
      <w:pPr>
        <w:spacing w:after="100" w:before="0" w:line="276" w:lineRule="auto"/>
      </w:pPr>
      <w:r>
        <w:rPr>
          <w:rFonts w:ascii="Open Sans" w:hAnsi="Open Sans" w:cs="Open Sans"/>
          <w:b/>
          <w:i w:val="0"/>
          <w:color w:val="404040"/>
          <w:sz w:val="20"/>
        </w:rPr>
        <w:t xml:space="preserve">Test de simetría (R3). </w:t>
      </w:r>
      <w:r>
        <w:rPr>
          <w:rFonts w:ascii="Open Sans" w:hAnsi="Open Sans" w:cs="Open Sans"/>
          <w:b w:val="0"/>
          <w:i w:val="0"/>
          <w:color w:val="404040"/>
          <w:sz w:val="20"/>
        </w:rPr>
        <w:t>Pares de eventos equivalentes bajo distintas gestiones deben clasificarse igual; auditar el ratio de candidatos por medida oficial entre gobiernos; prompt redactado en términos neutrales; priorizar fuentes oficiales sobre noticias.</w:t>
      </w:r>
    </w:p>
    <w:p>
      <w:pPr>
        <w:spacing w:after="100" w:before="0" w:line="276" w:lineRule="auto"/>
      </w:pPr>
      <w:r>
        <w:rPr>
          <w:rFonts w:ascii="Open Sans" w:hAnsi="Open Sans" w:cs="Open Sans"/>
          <w:b/>
          <w:i w:val="0"/>
          <w:color w:val="404040"/>
          <w:sz w:val="20"/>
        </w:rPr>
        <w:t xml:space="preserve">Fuentes diversificadas (R4). </w:t>
      </w:r>
      <w:r>
        <w:rPr>
          <w:rFonts w:ascii="Open Sans" w:hAnsi="Open Sans" w:cs="Open Sans"/>
          <w:b w:val="0"/>
          <w:i w:val="0"/>
          <w:color w:val="404040"/>
          <w:sz w:val="20"/>
        </w:rPr>
        <w:t>El núcleo del Radar son las fuentes oficiales estructuradas (BO, CSJN, Senado, FOPEA); las noticias son complemento con plan B. Monitorear el no-determinismo y el aporte por fuente; presupuestar la API.</w:t>
      </w:r>
    </w:p>
    <w:p>
      <w:pPr>
        <w:spacing w:after="100" w:before="0" w:line="276" w:lineRule="auto"/>
      </w:pPr>
      <w:r>
        <w:rPr>
          <w:rFonts w:ascii="Open Sans" w:hAnsi="Open Sans" w:cs="Open Sans"/>
          <w:b/>
          <w:i w:val="0"/>
          <w:color w:val="404040"/>
          <w:sz w:val="20"/>
        </w:rPr>
        <w:t xml:space="preserve">Responsable y plazo (R5). </w:t>
      </w:r>
      <w:r>
        <w:rPr>
          <w:rFonts w:ascii="Open Sans" w:hAnsi="Open Sans" w:cs="Open Sans"/>
          <w:b w:val="0"/>
          <w:i w:val="0"/>
          <w:color w:val="404040"/>
          <w:sz w:val="20"/>
        </w:rPr>
        <w:t>Cada hallazgo validado como variable nueva tiene owner, cupo de ingeniería y SLA. Medir la tasa de conversión del backlog; si es cero a los dos meses, se frena el Radar (detectar sin actuar no aporta).</w:t>
      </w:r>
    </w:p>
    <w:p>
      <w:pPr>
        <w:spacing w:after="100" w:before="0" w:line="276" w:lineRule="auto"/>
      </w:pPr>
      <w:r>
        <w:rPr>
          <w:rFonts w:ascii="Open Sans" w:hAnsi="Open Sans" w:cs="Open Sans"/>
          <w:b/>
          <w:i w:val="0"/>
          <w:color w:val="404040"/>
          <w:sz w:val="20"/>
        </w:rPr>
        <w:t xml:space="preserve">Verificación humana obligatoria (R6). </w:t>
      </w:r>
      <w:r>
        <w:rPr>
          <w:rFonts w:ascii="Open Sans" w:hAnsi="Open Sans" w:cs="Open Sans"/>
          <w:b w:val="0"/>
          <w:i w:val="0"/>
          <w:color w:val="404040"/>
          <w:sz w:val="20"/>
        </w:rPr>
        <w:t>Ninguna entrada que nombre personas se archiva sin chequear la fuente primaria y preservar el condicional del original. El watchlist es interno y está marcado como no publicable; se auditan los verbos afirmativos frente a los condicionales.</w:t>
      </w:r>
    </w:p>
    <w:p>
      <w:pPr>
        <w:spacing w:after="100" w:before="0" w:line="276" w:lineRule="auto"/>
      </w:pPr>
      <w:r>
        <w:rPr>
          <w:rFonts w:ascii="Open Sans" w:hAnsi="Open Sans" w:cs="Open Sans"/>
          <w:b/>
          <w:i w:val="0"/>
          <w:color w:val="404040"/>
          <w:sz w:val="20"/>
        </w:rPr>
        <w:t xml:space="preserve">Anti doble conteo (R7). </w:t>
      </w:r>
      <w:r>
        <w:rPr>
          <w:rFonts w:ascii="Open Sans" w:hAnsi="Open Sans" w:cs="Open Sans"/>
          <w:b w:val="0"/>
          <w:i w:val="0"/>
          <w:color w:val="404040"/>
          <w:sz w:val="20"/>
        </w:rPr>
        <w:t>Antes de incorporar un evento se verifica el solapamiento con las 18 variables; si se agrega una variable, se recalibran pesos y anclas con acta y se recomputa la serie histórica. El Radar propone; no modifica el ensamblador de forma automática.</w:t>
      </w:r>
    </w:p>
    <w:p>
      <w:pPr>
        <w:spacing w:after="120" w:before="240" w:line="276" w:lineRule="auto"/>
      </w:pPr>
      <w:r>
        <w:rPr>
          <w:rFonts w:ascii="Open Sans" w:hAnsi="Open Sans" w:cs="Open Sans"/>
          <w:b/>
          <w:i w:val="0"/>
          <w:color w:val="FF0000"/>
          <w:sz w:val="26"/>
        </w:rPr>
        <w:t>6. Checklist pre-lanzamiento</w:t>
      </w:r>
    </w:p>
    <w:p>
      <w:pPr>
        <w:spacing w:after="80" w:before="0" w:line="276" w:lineRule="auto"/>
      </w:pPr>
      <w:r>
        <w:rPr>
          <w:rFonts w:ascii="Open Sans" w:hAnsi="Open Sans" w:cs="Open Sans"/>
          <w:b w:val="0"/>
          <w:i w:val="0"/>
          <w:color w:val="404040"/>
          <w:sz w:val="20"/>
        </w:rPr>
        <w:t xml:space="preserve">☐  </w:t>
      </w:r>
      <w:r>
        <w:rPr>
          <w:rFonts w:ascii="Open Sans" w:hAnsi="Open Sans" w:cs="Open Sans"/>
          <w:b w:val="0"/>
          <w:i w:val="0"/>
          <w:color w:val="404040"/>
          <w:sz w:val="20"/>
        </w:rPr>
        <w:t>Test de reproducibilidad automático activo: publicar solo si el ITR reconstruido desde las 18 variables coincide con el publicado; cero flags provisorios vivos.</w:t>
      </w:r>
    </w:p>
    <w:p>
      <w:pPr>
        <w:spacing w:after="80" w:before="0" w:line="276" w:lineRule="auto"/>
      </w:pPr>
      <w:r>
        <w:rPr>
          <w:rFonts w:ascii="Open Sans" w:hAnsi="Open Sans" w:cs="Open Sans"/>
          <w:b w:val="0"/>
          <w:i w:val="0"/>
          <w:color w:val="404040"/>
          <w:sz w:val="20"/>
        </w:rPr>
        <w:t xml:space="preserve">☐  </w:t>
      </w:r>
      <w:r>
        <w:rPr>
          <w:rFonts w:ascii="Open Sans" w:hAnsi="Open Sans" w:cs="Open Sans"/>
          <w:b w:val="0"/>
          <w:i w:val="0"/>
          <w:color w:val="404040"/>
          <w:sz w:val="20"/>
        </w:rPr>
        <w:t>Corrida piloto con deduplicación, umbral y tope: confirmar que salen ≤25 ítems reales por mes, no cientos.</w:t>
      </w:r>
    </w:p>
    <w:p>
      <w:pPr>
        <w:spacing w:after="80" w:before="0" w:line="276" w:lineRule="auto"/>
      </w:pPr>
      <w:r>
        <w:rPr>
          <w:rFonts w:ascii="Open Sans" w:hAnsi="Open Sans" w:cs="Open Sans"/>
          <w:b w:val="0"/>
          <w:i w:val="0"/>
          <w:color w:val="404040"/>
          <w:sz w:val="20"/>
        </w:rPr>
        <w:t xml:space="preserve">☐  </w:t>
      </w:r>
      <w:r>
        <w:rPr>
          <w:rFonts w:ascii="Open Sans" w:hAnsi="Open Sans" w:cs="Open Sans"/>
          <w:b w:val="0"/>
          <w:i w:val="0"/>
          <w:color w:val="404040"/>
          <w:sz w:val="20"/>
        </w:rPr>
        <w:t>Test de simetría de sesgo corrido sobre dos gestiones antes de confiar en el clasificador.</w:t>
      </w:r>
    </w:p>
    <w:p>
      <w:pPr>
        <w:spacing w:after="80" w:before="0" w:line="276" w:lineRule="auto"/>
      </w:pPr>
      <w:r>
        <w:rPr>
          <w:rFonts w:ascii="Open Sans" w:hAnsi="Open Sans" w:cs="Open Sans"/>
          <w:b w:val="0"/>
          <w:i w:val="0"/>
          <w:color w:val="404040"/>
          <w:sz w:val="20"/>
        </w:rPr>
        <w:t xml:space="preserve">☐  </w:t>
      </w:r>
      <w:r>
        <w:rPr>
          <w:rFonts w:ascii="Open Sans" w:hAnsi="Open Sans" w:cs="Open Sans"/>
          <w:b w:val="0"/>
          <w:i w:val="0"/>
          <w:color w:val="404040"/>
          <w:sz w:val="20"/>
        </w:rPr>
        <w:t>Owner y SLA de conversión de backlog definidos por escrito (sin responsable, no se lanza).</w:t>
      </w:r>
    </w:p>
    <w:p>
      <w:pPr>
        <w:spacing w:after="80" w:before="0" w:line="276" w:lineRule="auto"/>
      </w:pPr>
      <w:r>
        <w:rPr>
          <w:rFonts w:ascii="Open Sans" w:hAnsi="Open Sans" w:cs="Open Sans"/>
          <w:b w:val="0"/>
          <w:i w:val="0"/>
          <w:color w:val="404040"/>
          <w:sz w:val="20"/>
        </w:rPr>
        <w:t xml:space="preserve">☐  </w:t>
      </w:r>
      <w:r>
        <w:rPr>
          <w:rFonts w:ascii="Open Sans" w:hAnsi="Open Sans" w:cs="Open Sans"/>
          <w:b w:val="0"/>
          <w:i w:val="0"/>
          <w:color w:val="404040"/>
          <w:sz w:val="20"/>
        </w:rPr>
        <w:t>Regla escrita: verificación de fuente primaria obligatoria y watchlist interno, no publicable.</w:t>
      </w:r>
    </w:p>
    <w:p>
      <w:pPr>
        <w:spacing w:after="120" w:before="160" w:line="276" w:lineRule="auto"/>
      </w:pPr>
      <w:r>
        <w:rPr>
          <w:rFonts w:ascii="Open Sans" w:hAnsi="Open Sans" w:cs="Open Sans"/>
          <w:b w:val="0"/>
          <w:i w:val="0"/>
          <w:color w:val="404040"/>
          <w:sz w:val="20"/>
        </w:rPr>
        <w:t>Conclusión: el Radar es valioso para mantener el ITR completo y creíble, pero solo si nace con las barandas puestas. Las dos mitigaciones no negociables son el firewall verificable (que protege el número) y la verificación humana con watchlist no publicable (que protege a la Fundación). Con ellas, conviene avanzar a un prototipo acotado antes de automatizar.</w:t>
      </w:r>
    </w:p>
    <w:p>
      <w:pPr>
        <w:spacing w:after="120" w:before="160" w:line="276" w:lineRule="auto"/>
      </w:pPr>
      <w:r>
        <w:rPr>
          <w:rFonts w:ascii="Open Sans" w:hAnsi="Open Sans" w:cs="Open Sans"/>
          <w:b w:val="0"/>
          <w:i w:val="0"/>
          <w:color w:val="777777"/>
          <w:sz w:val="16"/>
        </w:rPr>
        <w:t>Documento de proyecto. Versión junio 2026. Acompaña al premortem (informe y transcripción) en esta misma carpeta.</w:t>
      </w:r>
    </w:p>
    <w:sectPr w:rsidR="00A53109">
      <w:headerReference w:type="default" r:id="rId8"/>
      <w:footerReference w:type="default" r:id="rId9"/>
      <w:pgSz w:w="12240" w:h="15840"/>
      <w:pgMar w:top="1440" w:right="1440" w:bottom="1440" w:left="283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4E54C" w14:textId="77777777" w:rsidR="00F77CBB" w:rsidRDefault="00F77CBB">
      <w:pPr>
        <w:spacing w:after="0" w:line="240" w:lineRule="auto"/>
      </w:pPr>
      <w:r>
        <w:separator/>
      </w:r>
    </w:p>
  </w:endnote>
  <w:endnote w:type="continuationSeparator" w:id="0">
    <w:p w14:paraId="67B6C11F" w14:textId="77777777" w:rsidR="00F77CBB" w:rsidRDefault="00F77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Montserrat">
    <w:altName w:val="Times New Roman"/>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F9CB4" w14:textId="733605CD" w:rsidR="00EB67EE" w:rsidRPr="00FF3475" w:rsidRDefault="009D36B3">
    <w:pPr>
      <w:pBdr>
        <w:top w:val="nil"/>
        <w:left w:val="nil"/>
        <w:bottom w:val="nil"/>
        <w:right w:val="nil"/>
        <w:between w:val="nil"/>
      </w:pBdr>
      <w:tabs>
        <w:tab w:val="center" w:pos="4252"/>
        <w:tab w:val="right" w:pos="8504"/>
      </w:tabs>
      <w:spacing w:after="0" w:line="240" w:lineRule="auto"/>
      <w:rPr>
        <w:rFonts w:ascii="Open Sans" w:hAnsi="Open Sans" w:cs="Open Sans"/>
        <w:b/>
        <w:color w:val="C00000"/>
      </w:rPr>
    </w:pPr>
    <w:r>
      <w:rPr>
        <w:color w:val="000000"/>
      </w:rPr>
      <w:t xml:space="preserve"> </w:t>
    </w:r>
    <w:r>
      <w:rPr>
        <w:b/>
        <w:color w:val="C00000"/>
      </w:rPr>
      <w:tab/>
    </w:r>
    <w:r>
      <w:rPr>
        <w:b/>
        <w:color w:val="C00000"/>
      </w:rPr>
      <w:tab/>
    </w:r>
    <w:r>
      <w:rPr>
        <w:b/>
        <w:color w:val="C00000"/>
      </w:rPr>
      <w:tab/>
    </w:r>
    <w:r w:rsidRPr="00FF3475">
      <w:rPr>
        <w:rFonts w:ascii="Open Sans" w:eastAsia="Montserrat" w:hAnsi="Open Sans" w:cs="Open Sans"/>
        <w:b/>
        <w:color w:val="C00000"/>
      </w:rPr>
      <w:fldChar w:fldCharType="begin"/>
    </w:r>
    <w:r w:rsidRPr="00FF3475">
      <w:rPr>
        <w:rFonts w:ascii="Open Sans" w:eastAsia="Montserrat" w:hAnsi="Open Sans" w:cs="Open Sans"/>
        <w:b/>
        <w:color w:val="C00000"/>
      </w:rPr>
      <w:instrText>PAGE</w:instrText>
    </w:r>
    <w:r w:rsidRPr="00FF3475">
      <w:rPr>
        <w:rFonts w:ascii="Open Sans" w:eastAsia="Montserrat" w:hAnsi="Open Sans" w:cs="Open Sans"/>
        <w:b/>
        <w:color w:val="C00000"/>
      </w:rPr>
      <w:fldChar w:fldCharType="separate"/>
    </w:r>
    <w:r w:rsidR="00396BD4">
      <w:rPr>
        <w:rFonts w:ascii="Open Sans" w:eastAsia="Montserrat" w:hAnsi="Open Sans" w:cs="Open Sans"/>
        <w:b/>
        <w:noProof/>
        <w:color w:val="C00000"/>
      </w:rPr>
      <w:t>7</w:t>
    </w:r>
    <w:r w:rsidRPr="00FF3475">
      <w:rPr>
        <w:rFonts w:ascii="Open Sans" w:eastAsia="Montserrat" w:hAnsi="Open Sans" w:cs="Open Sans"/>
        <w:b/>
        <w:color w:val="C00000"/>
      </w:rPr>
      <w:fldChar w:fldCharType="end"/>
    </w:r>
    <w:r w:rsidRPr="00FF3475">
      <w:rPr>
        <w:rFonts w:ascii="Open Sans" w:hAnsi="Open Sans" w:cs="Open Sans"/>
        <w:noProof/>
        <w:lang w:val="es-419" w:eastAsia="es-419"/>
      </w:rPr>
      <mc:AlternateContent>
        <mc:Choice Requires="wps">
          <w:drawing>
            <wp:anchor distT="0" distB="0" distL="0" distR="0" simplePos="0" relativeHeight="251661312" behindDoc="1" locked="0" layoutInCell="1" hidden="0" allowOverlap="1" wp14:anchorId="0BB5FBC9" wp14:editId="5F88F8F4">
              <wp:simplePos x="0" y="0"/>
              <wp:positionH relativeFrom="column">
                <wp:posOffset>-1876424</wp:posOffset>
              </wp:positionH>
              <wp:positionV relativeFrom="paragraph">
                <wp:posOffset>160020</wp:posOffset>
              </wp:positionV>
              <wp:extent cx="6600825" cy="704850"/>
              <wp:effectExtent l="0" t="0" r="9525" b="0"/>
              <wp:wrapNone/>
              <wp:docPr id="2" name="Rectángulo 2"/>
              <wp:cNvGraphicFramePr/>
              <a:graphic xmlns:a="http://schemas.openxmlformats.org/drawingml/2006/main">
                <a:graphicData uri="http://schemas.microsoft.com/office/word/2010/wordprocessingShape">
                  <wps:wsp>
                    <wps:cNvSpPr/>
                    <wps:spPr>
                      <a:xfrm>
                        <a:off x="0" y="0"/>
                        <a:ext cx="6600825" cy="704850"/>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-1876424</wp:posOffset>
              </wp:positionH>
              <wp:positionV relativeFrom="paragraph">
                <wp:posOffset>160020</wp:posOffset>
              </wp:positionV>
              <wp:extent cx="6610350" cy="704850"/>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610350" cy="704850"/>
                      </a:xfrm>
                      <a:prstGeom prst="rect"/>
                      <a:ln/>
                    </pic:spPr>
                  </pic:pic>
                </a:graphicData>
              </a:graphic>
            </wp:anchor>
          </w:drawing>
        </mc:Fallback>
      </mc:AlternateContent>
    </w:r>
    <w:r w:rsidRPr="00FF3475">
      <w:rPr>
        <w:rFonts w:ascii="Open Sans" w:hAnsi="Open Sans" w:cs="Open Sans"/>
        <w:noProof/>
        <w:lang w:val="es-419" w:eastAsia="es-419"/>
      </w:rPr>
      <w:drawing>
        <wp:anchor distT="0" distB="0" distL="0" distR="0" simplePos="0" relativeHeight="251662336" behindDoc="1" locked="0" layoutInCell="1" hidden="0" allowOverlap="1" wp14:anchorId="24C3858E" wp14:editId="7BE7550D">
          <wp:simplePos x="0" y="0"/>
          <wp:positionH relativeFrom="column">
            <wp:posOffset>57150</wp:posOffset>
          </wp:positionH>
          <wp:positionV relativeFrom="paragraph">
            <wp:posOffset>360045</wp:posOffset>
          </wp:positionV>
          <wp:extent cx="4381500" cy="259644"/>
          <wp:effectExtent l="0" t="0" r="0" b="0"/>
          <wp:wrapNone/>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
                  <a:srcRect/>
                  <a:stretch>
                    <a:fillRect/>
                  </a:stretch>
                </pic:blipFill>
                <pic:spPr>
                  <a:xfrm>
                    <a:off x="0" y="0"/>
                    <a:ext cx="4381500" cy="259644"/>
                  </a:xfrm>
                  <a:prstGeom prst="rect">
                    <a:avLst/>
                  </a:prstGeom>
                  <a:ln/>
                </pic:spPr>
              </pic:pic>
            </a:graphicData>
          </a:graphic>
        </wp:anchor>
      </w:drawing>
    </w:r>
    <w:r w:rsidRPr="00FF3475">
      <w:rPr>
        <w:rFonts w:ascii="Open Sans" w:hAnsi="Open Sans" w:cs="Open Sans"/>
        <w:noProof/>
        <w:lang w:val="es-419" w:eastAsia="es-419"/>
      </w:rPr>
      <w:drawing>
        <wp:anchor distT="0" distB="0" distL="0" distR="0" simplePos="0" relativeHeight="251663360" behindDoc="1" locked="0" layoutInCell="1" hidden="0" allowOverlap="1" wp14:anchorId="74B6C3F6" wp14:editId="2288B878">
          <wp:simplePos x="0" y="0"/>
          <wp:positionH relativeFrom="column">
            <wp:posOffset>-3009899</wp:posOffset>
          </wp:positionH>
          <wp:positionV relativeFrom="paragraph">
            <wp:posOffset>-953769</wp:posOffset>
          </wp:positionV>
          <wp:extent cx="3238500" cy="2857077"/>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3238500" cy="285707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90E22" w14:textId="77777777" w:rsidR="00F77CBB" w:rsidRDefault="00F77CBB">
      <w:pPr>
        <w:spacing w:after="0" w:line="240" w:lineRule="auto"/>
      </w:pPr>
      <w:r>
        <w:separator/>
      </w:r>
    </w:p>
  </w:footnote>
  <w:footnote w:type="continuationSeparator" w:id="0">
    <w:p w14:paraId="0275C1B3" w14:textId="77777777" w:rsidR="00F77CBB" w:rsidRDefault="00F77C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380E3" w14:textId="0C90D586" w:rsidR="00EB67EE" w:rsidRPr="00203170" w:rsidRDefault="00203170" w:rsidP="00203170">
    <w:pPr>
      <w:pBdr>
        <w:bottom w:val="single" w:sz="8" w:space="1" w:color="7F7F7F" w:themeColor="text1" w:themeTint="80"/>
      </w:pBdr>
      <w:jc w:val="both"/>
      <w:rPr>
        <w:rFonts w:ascii="Open Sans" w:eastAsia="Open Sans" w:hAnsi="Open Sans" w:cs="Open Sans"/>
        <w:b/>
        <w:color w:val="808080" w:themeColor="background1" w:themeShade="80"/>
        <w:sz w:val="20"/>
        <w:szCs w:val="20"/>
      </w:rPr>
    </w:pPr>
    <w:r w:rsidRPr="001F08F5">
      <w:rPr>
        <w:rFonts w:ascii="Open Sans" w:eastAsia="Open Sans" w:hAnsi="Open Sans" w:cs="Open Sans"/>
        <w:b/>
        <w:color w:val="808080" w:themeColor="background1" w:themeShade="80"/>
        <w:sz w:val="20"/>
        <w:szCs w:val="20"/>
      </w:rPr>
      <w:t>INFORME DE POLÍTICAS PÚBLICAS</w:t>
    </w:r>
    <w:r w:rsidRPr="001F08F5">
      <w:rPr>
        <w:noProof/>
        <w:sz w:val="20"/>
        <w:szCs w:val="20"/>
        <w:lang w:val="es-419" w:eastAsia="es-419"/>
      </w:rPr>
      <mc:AlternateContent>
        <mc:Choice Requires="wps">
          <w:drawing>
            <wp:anchor distT="0" distB="0" distL="114300" distR="114300" simplePos="0" relativeHeight="251665408" behindDoc="0" locked="0" layoutInCell="1" hidden="0" allowOverlap="1" wp14:anchorId="274EEB37" wp14:editId="19A256E7">
              <wp:simplePos x="0" y="0"/>
              <wp:positionH relativeFrom="column">
                <wp:posOffset>-1390649</wp:posOffset>
              </wp:positionH>
              <wp:positionV relativeFrom="paragraph">
                <wp:posOffset>-457199</wp:posOffset>
              </wp:positionV>
              <wp:extent cx="826135" cy="915035"/>
              <wp:effectExtent l="0" t="0" r="0" b="0"/>
              <wp:wrapNone/>
              <wp:docPr id="13" name="Rectángulo 13"/>
              <wp:cNvGraphicFramePr/>
              <a:graphic xmlns:a="http://schemas.openxmlformats.org/drawingml/2006/main">
                <a:graphicData uri="http://schemas.microsoft.com/office/word/2010/wordprocessingShape">
                  <wps:wsp>
                    <wps:cNvSpPr/>
                    <wps:spPr>
                      <a:xfrm>
                        <a:off x="0" y="0"/>
                        <a:ext cx="826135" cy="915035"/>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EB9CC4" id="Rectángulo 13" o:spid="_x0000_s1026" style="position:absolute;margin-left:-109.5pt;margin-top:-36pt;width:65.05pt;height:72.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" fillcolor="#db0032" stroked="f" strokeweight="2pt"/>
          </w:pict>
        </mc:Fallback>
      </mc:AlternateContent>
    </w:r>
    <w:r w:rsidRPr="001F08F5">
      <w:rPr>
        <w:noProof/>
        <w:sz w:val="20"/>
        <w:szCs w:val="20"/>
        <w:lang w:val="es-419" w:eastAsia="es-419"/>
      </w:rPr>
      <w:drawing>
        <wp:anchor distT="0" distB="0" distL="114300" distR="114300" simplePos="0" relativeHeight="251666432" behindDoc="0" locked="0" layoutInCell="1" hidden="0" allowOverlap="1" wp14:anchorId="03EC9F0F" wp14:editId="279EAC56">
          <wp:simplePos x="0" y="0"/>
          <wp:positionH relativeFrom="column">
            <wp:posOffset>-1390650</wp:posOffset>
          </wp:positionH>
          <wp:positionV relativeFrom="paragraph">
            <wp:posOffset>-304799</wp:posOffset>
          </wp:positionV>
          <wp:extent cx="827593" cy="729712"/>
          <wp:effectExtent l="0" t="0" r="0" b="0"/>
          <wp:wrapNone/>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27593" cy="729712"/>
                  </a:xfrm>
                  <a:prstGeom prst="rect">
                    <a:avLst/>
                  </a:prstGeom>
                  <a:ln/>
                </pic:spPr>
              </pic:pic>
            </a:graphicData>
          </a:graphic>
        </wp:anchor>
      </w:drawing>
    </w:r>
    <w:r w:rsidRPr="001F08F5">
      <w:rPr>
        <w:noProof/>
        <w:sz w:val="20"/>
        <w:szCs w:val="20"/>
        <w:lang w:val="es-419" w:eastAsia="es-419"/>
      </w:rPr>
      <w:drawing>
        <wp:anchor distT="0" distB="0" distL="114300" distR="114300" simplePos="0" relativeHeight="251667456" behindDoc="0" locked="0" layoutInCell="1" hidden="0" allowOverlap="1" wp14:anchorId="0D462754" wp14:editId="575F6AF3">
          <wp:simplePos x="0" y="0"/>
          <wp:positionH relativeFrom="column">
            <wp:posOffset>-1390649</wp:posOffset>
          </wp:positionH>
          <wp:positionV relativeFrom="paragraph">
            <wp:posOffset>771525</wp:posOffset>
          </wp:positionV>
          <wp:extent cx="848360" cy="342900"/>
          <wp:effectExtent l="0" t="0" r="0" b="0"/>
          <wp:wrapSquare wrapText="bothSides" distT="0" distB="0" distL="114300" distR="114300"/>
          <wp:docPr id="15" name="image6.png" descr="Colaborá con Libertad y Progreso - Fundación Libertad Y Progreso"/>
          <wp:cNvGraphicFramePr/>
          <a:graphic xmlns:a="http://schemas.openxmlformats.org/drawingml/2006/main">
            <a:graphicData uri="http://schemas.openxmlformats.org/drawingml/2006/picture">
              <pic:pic xmlns:pic="http://schemas.openxmlformats.org/drawingml/2006/picture">
                <pic:nvPicPr>
                  <pic:cNvPr id="0" name="image6.png" descr="Colaborá con Libertad y Progreso - Fundación Libertad Y Progreso"/>
                  <pic:cNvPicPr preferRelativeResize="0"/>
                </pic:nvPicPr>
                <pic:blipFill>
                  <a:blip r:embed="rId2"/>
                  <a:srcRect l="25959" t="24303" r="7277" b="6831"/>
                  <a:stretch>
                    <a:fillRect/>
                  </a:stretch>
                </pic:blipFill>
                <pic:spPr>
                  <a:xfrm>
                    <a:off x="0" y="0"/>
                    <a:ext cx="848360" cy="342900"/>
                  </a:xfrm>
                  <a:prstGeom prst="rect">
                    <a:avLst/>
                  </a:prstGeom>
                  <a:ln/>
                </pic:spPr>
              </pic:pic>
            </a:graphicData>
          </a:graphic>
        </wp:anchor>
      </w:drawing>
    </w:r>
    <w:r w:rsidRPr="001F08F5">
      <w:rPr>
        <w:rFonts w:ascii="Open Sans" w:eastAsia="Open Sans" w:hAnsi="Open Sans" w:cs="Open Sans"/>
        <w:b/>
        <w:color w:val="808080" w:themeColor="background1" w:themeShade="80"/>
        <w:sz w:val="20"/>
        <w:szCs w:val="20"/>
      </w:rPr>
      <w:tab/>
    </w:r>
    <w:r w:rsidRPr="001F08F5">
      <w:rPr>
        <w:rFonts w:ascii="Open Sans" w:eastAsia="Open Sans" w:hAnsi="Open Sans" w:cs="Open Sans"/>
        <w:b/>
        <w:color w:val="808080" w:themeColor="background1" w:themeShade="80"/>
        <w:sz w:val="20"/>
        <w:szCs w:val="20"/>
      </w:rPr>
      <w:tab/>
    </w:r>
    <w:r w:rsidR="009B3EA8">
      <w:rPr>
        <w:rFonts w:ascii="Open Sans" w:eastAsia="Open Sans" w:hAnsi="Open Sans" w:cs="Open Sans"/>
        <w:b/>
        <w:color w:val="808080" w:themeColor="background1" w:themeShade="80"/>
        <w:sz w:val="20"/>
        <w:szCs w:val="20"/>
      </w:rPr>
      <w:tab/>
    </w:r>
    <w:r w:rsidR="009B3EA8">
      <w:rPr>
        <w:rFonts w:ascii="Open Sans" w:eastAsia="Open Sans" w:hAnsi="Open Sans" w:cs="Open Sans"/>
        <w:b/>
        <w:color w:val="808080" w:themeColor="background1" w:themeShade="80"/>
        <w:sz w:val="20"/>
        <w:szCs w:val="20"/>
      </w:rPr>
      <w:tab/>
      <w:t xml:space="preserve">         </w:t>
    </w:r>
    <w:r w:rsidR="0035502A">
      <w:rPr>
        <w:rFonts w:ascii="Open Sans" w:eastAsia="Open Sans" w:hAnsi="Open Sans" w:cs="Open Sans"/>
        <w:b/>
        <w:color w:val="808080" w:themeColor="background1" w:themeShade="80"/>
        <w:sz w:val="20"/>
        <w:szCs w:val="20"/>
      </w:rPr>
      <w:t>Junio</w:t>
    </w:r>
    <w:r w:rsidRPr="001F08F5">
      <w:rPr>
        <w:rFonts w:ascii="Open Sans" w:eastAsia="Open Sans" w:hAnsi="Open Sans" w:cs="Open Sans"/>
        <w:b/>
        <w:color w:val="808080" w:themeColor="background1" w:themeShade="80"/>
        <w:sz w:val="20"/>
        <w:szCs w:val="20"/>
      </w:rPr>
      <w:t xml:space="preserve"> 202</w:t>
    </w:r>
    <w:r w:rsidR="009D36B3">
      <w:rPr>
        <w:noProof/>
        <w:lang w:val="es-419" w:eastAsia="es-419"/>
      </w:rPr>
      <mc:AlternateContent>
        <mc:Choice Requires="wps">
          <w:drawing>
            <wp:anchor distT="0" distB="0" distL="114300" distR="114300" simplePos="0" relativeHeight="251658240" behindDoc="0" locked="0" layoutInCell="1" hidden="0" allowOverlap="1" wp14:anchorId="5FFD0720" wp14:editId="0907423A">
              <wp:simplePos x="0" y="0"/>
              <wp:positionH relativeFrom="column">
                <wp:posOffset>-1390649</wp:posOffset>
              </wp:positionH>
              <wp:positionV relativeFrom="paragraph">
                <wp:posOffset>-457199</wp:posOffset>
              </wp:positionV>
              <wp:extent cx="826135" cy="915035"/>
              <wp:effectExtent l="0" t="0" r="0" b="0"/>
              <wp:wrapNone/>
              <wp:docPr id="1" name="Rectángulo 1"/>
              <wp:cNvGraphicFramePr/>
              <a:graphic xmlns:a="http://schemas.openxmlformats.org/drawingml/2006/main">
                <a:graphicData uri="http://schemas.microsoft.com/office/word/2010/wordprocessingShape">
                  <wps:wsp>
                    <wps:cNvSpPr/>
                    <wps:spPr>
                      <a:xfrm>
                        <a:off x="0" y="0"/>
                        <a:ext cx="826135" cy="915035"/>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-1390649</wp:posOffset>
              </wp:positionH>
              <wp:positionV relativeFrom="paragraph">
                <wp:posOffset>-457199</wp:posOffset>
              </wp:positionV>
              <wp:extent cx="826135" cy="915035"/>
              <wp:effectExtent b="0" l="0" r="0" t="0"/>
              <wp:wrapNone/>
              <wp:docPr id="1"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826135" cy="915035"/>
                      </a:xfrm>
                      <a:prstGeom prst="rect"/>
                      <a:ln/>
                    </pic:spPr>
                  </pic:pic>
                </a:graphicData>
              </a:graphic>
            </wp:anchor>
          </w:drawing>
        </mc:Fallback>
      </mc:AlternateContent>
    </w:r>
    <w:r w:rsidR="009D36B3">
      <w:rPr>
        <w:noProof/>
        <w:lang w:val="es-419" w:eastAsia="es-419"/>
      </w:rPr>
      <w:drawing>
        <wp:anchor distT="0" distB="0" distL="114300" distR="114300" simplePos="0" relativeHeight="251659264" behindDoc="0" locked="0" layoutInCell="1" hidden="0" allowOverlap="1" wp14:anchorId="76845840" wp14:editId="4E3A7D65">
          <wp:simplePos x="0" y="0"/>
          <wp:positionH relativeFrom="column">
            <wp:posOffset>-1390650</wp:posOffset>
          </wp:positionH>
          <wp:positionV relativeFrom="paragraph">
            <wp:posOffset>-304799</wp:posOffset>
          </wp:positionV>
          <wp:extent cx="827593" cy="729712"/>
          <wp:effectExtent l="0" t="0" r="0" b="0"/>
          <wp:wrapNone/>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27593" cy="729712"/>
                  </a:xfrm>
                  <a:prstGeom prst="rect">
                    <a:avLst/>
                  </a:prstGeom>
                  <a:ln/>
                </pic:spPr>
              </pic:pic>
            </a:graphicData>
          </a:graphic>
        </wp:anchor>
      </w:drawing>
    </w:r>
    <w:r w:rsidR="009D36B3">
      <w:rPr>
        <w:noProof/>
        <w:lang w:val="es-419" w:eastAsia="es-419"/>
      </w:rPr>
      <w:drawing>
        <wp:anchor distT="0" distB="0" distL="114300" distR="114300" simplePos="0" relativeHeight="251660288" behindDoc="0" locked="0" layoutInCell="1" hidden="0" allowOverlap="1" wp14:anchorId="34E96621" wp14:editId="78FFE30A">
          <wp:simplePos x="0" y="0"/>
          <wp:positionH relativeFrom="column">
            <wp:posOffset>-1390649</wp:posOffset>
          </wp:positionH>
          <wp:positionV relativeFrom="paragraph">
            <wp:posOffset>771525</wp:posOffset>
          </wp:positionV>
          <wp:extent cx="848360" cy="342900"/>
          <wp:effectExtent l="0" t="0" r="0" b="0"/>
          <wp:wrapSquare wrapText="bothSides" distT="0" distB="0" distL="114300" distR="114300"/>
          <wp:docPr id="6" name="image6.png" descr="Colaborá con Libertad y Progreso - Fundación Libertad Y Progreso"/>
          <wp:cNvGraphicFramePr/>
          <a:graphic xmlns:a="http://schemas.openxmlformats.org/drawingml/2006/main">
            <a:graphicData uri="http://schemas.openxmlformats.org/drawingml/2006/picture">
              <pic:pic xmlns:pic="http://schemas.openxmlformats.org/drawingml/2006/picture">
                <pic:nvPicPr>
                  <pic:cNvPr id="0" name="image6.png" descr="Colaborá con Libertad y Progreso - Fundación Libertad Y Progreso"/>
                  <pic:cNvPicPr preferRelativeResize="0"/>
                </pic:nvPicPr>
                <pic:blipFill>
                  <a:blip r:embed="rId2"/>
                  <a:srcRect l="25959" t="24303" r="7277" b="6831"/>
                  <a:stretch>
                    <a:fillRect/>
                  </a:stretch>
                </pic:blipFill>
                <pic:spPr>
                  <a:xfrm>
                    <a:off x="0" y="0"/>
                    <a:ext cx="848360" cy="342900"/>
                  </a:xfrm>
                  <a:prstGeom prst="rect">
                    <a:avLst/>
                  </a:prstGeom>
                  <a:ln/>
                </pic:spPr>
              </pic:pic>
            </a:graphicData>
          </a:graphic>
        </wp:anchor>
      </w:drawing>
    </w:r>
    <w:r w:rsidR="00810E02">
      <w:rPr>
        <w:rFonts w:ascii="Open Sans" w:eastAsia="Open Sans" w:hAnsi="Open Sans" w:cs="Open Sans"/>
        <w:b/>
        <w:color w:val="808080" w:themeColor="background1" w:themeShade="80"/>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77AEA"/>
    <w:multiLevelType w:val="hybridMultilevel"/>
    <w:tmpl w:val="8A1848D6"/>
    <w:lvl w:ilvl="0" w:tplc="580A0001">
      <w:start w:val="1"/>
      <w:numFmt w:val="bullet"/>
      <w:lvlText w:val=""/>
      <w:lvlJc w:val="left"/>
      <w:pPr>
        <w:ind w:left="2421" w:hanging="360"/>
      </w:pPr>
      <w:rPr>
        <w:rFonts w:ascii="Symbol" w:hAnsi="Symbol" w:hint="default"/>
      </w:rPr>
    </w:lvl>
    <w:lvl w:ilvl="1" w:tplc="580A0003" w:tentative="1">
      <w:start w:val="1"/>
      <w:numFmt w:val="bullet"/>
      <w:lvlText w:val="o"/>
      <w:lvlJc w:val="left"/>
      <w:pPr>
        <w:ind w:left="3141" w:hanging="360"/>
      </w:pPr>
      <w:rPr>
        <w:rFonts w:ascii="Courier New" w:hAnsi="Courier New" w:cs="Courier New" w:hint="default"/>
      </w:rPr>
    </w:lvl>
    <w:lvl w:ilvl="2" w:tplc="580A0005" w:tentative="1">
      <w:start w:val="1"/>
      <w:numFmt w:val="bullet"/>
      <w:lvlText w:val=""/>
      <w:lvlJc w:val="left"/>
      <w:pPr>
        <w:ind w:left="3861" w:hanging="360"/>
      </w:pPr>
      <w:rPr>
        <w:rFonts w:ascii="Wingdings" w:hAnsi="Wingdings" w:hint="default"/>
      </w:rPr>
    </w:lvl>
    <w:lvl w:ilvl="3" w:tplc="580A0001" w:tentative="1">
      <w:start w:val="1"/>
      <w:numFmt w:val="bullet"/>
      <w:lvlText w:val=""/>
      <w:lvlJc w:val="left"/>
      <w:pPr>
        <w:ind w:left="4581" w:hanging="360"/>
      </w:pPr>
      <w:rPr>
        <w:rFonts w:ascii="Symbol" w:hAnsi="Symbol" w:hint="default"/>
      </w:rPr>
    </w:lvl>
    <w:lvl w:ilvl="4" w:tplc="580A0003" w:tentative="1">
      <w:start w:val="1"/>
      <w:numFmt w:val="bullet"/>
      <w:lvlText w:val="o"/>
      <w:lvlJc w:val="left"/>
      <w:pPr>
        <w:ind w:left="5301" w:hanging="360"/>
      </w:pPr>
      <w:rPr>
        <w:rFonts w:ascii="Courier New" w:hAnsi="Courier New" w:cs="Courier New" w:hint="default"/>
      </w:rPr>
    </w:lvl>
    <w:lvl w:ilvl="5" w:tplc="580A0005" w:tentative="1">
      <w:start w:val="1"/>
      <w:numFmt w:val="bullet"/>
      <w:lvlText w:val=""/>
      <w:lvlJc w:val="left"/>
      <w:pPr>
        <w:ind w:left="6021" w:hanging="360"/>
      </w:pPr>
      <w:rPr>
        <w:rFonts w:ascii="Wingdings" w:hAnsi="Wingdings" w:hint="default"/>
      </w:rPr>
    </w:lvl>
    <w:lvl w:ilvl="6" w:tplc="580A0001" w:tentative="1">
      <w:start w:val="1"/>
      <w:numFmt w:val="bullet"/>
      <w:lvlText w:val=""/>
      <w:lvlJc w:val="left"/>
      <w:pPr>
        <w:ind w:left="6741" w:hanging="360"/>
      </w:pPr>
      <w:rPr>
        <w:rFonts w:ascii="Symbol" w:hAnsi="Symbol" w:hint="default"/>
      </w:rPr>
    </w:lvl>
    <w:lvl w:ilvl="7" w:tplc="580A0003" w:tentative="1">
      <w:start w:val="1"/>
      <w:numFmt w:val="bullet"/>
      <w:lvlText w:val="o"/>
      <w:lvlJc w:val="left"/>
      <w:pPr>
        <w:ind w:left="7461" w:hanging="360"/>
      </w:pPr>
      <w:rPr>
        <w:rFonts w:ascii="Courier New" w:hAnsi="Courier New" w:cs="Courier New" w:hint="default"/>
      </w:rPr>
    </w:lvl>
    <w:lvl w:ilvl="8" w:tplc="580A0005" w:tentative="1">
      <w:start w:val="1"/>
      <w:numFmt w:val="bullet"/>
      <w:lvlText w:val=""/>
      <w:lvlJc w:val="left"/>
      <w:pPr>
        <w:ind w:left="8181" w:hanging="360"/>
      </w:pPr>
      <w:rPr>
        <w:rFonts w:ascii="Wingdings" w:hAnsi="Wingdings" w:hint="default"/>
      </w:rPr>
    </w:lvl>
  </w:abstractNum>
  <w:abstractNum w:abstractNumId="1" w15:restartNumberingAfterBreak="0">
    <w:nsid w:val="14484313"/>
    <w:multiLevelType w:val="hybridMultilevel"/>
    <w:tmpl w:val="052E17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933315621">
    <w:abstractNumId w:val="0"/>
  </w:num>
  <w:num w:numId="2" w16cid:durableId="35202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7EE"/>
    <w:rsid w:val="0000752D"/>
    <w:rsid w:val="0004018B"/>
    <w:rsid w:val="00055F43"/>
    <w:rsid w:val="000A20E3"/>
    <w:rsid w:val="000B7F2B"/>
    <w:rsid w:val="000C1ED9"/>
    <w:rsid w:val="000D51FA"/>
    <w:rsid w:val="000E12DE"/>
    <w:rsid w:val="000E627A"/>
    <w:rsid w:val="000F2E96"/>
    <w:rsid w:val="001037BA"/>
    <w:rsid w:val="00103C02"/>
    <w:rsid w:val="00135212"/>
    <w:rsid w:val="001472AF"/>
    <w:rsid w:val="00163E83"/>
    <w:rsid w:val="00187188"/>
    <w:rsid w:val="00191068"/>
    <w:rsid w:val="001B1201"/>
    <w:rsid w:val="001B5BBD"/>
    <w:rsid w:val="001B7C74"/>
    <w:rsid w:val="001D5AE1"/>
    <w:rsid w:val="001F510D"/>
    <w:rsid w:val="001F55AF"/>
    <w:rsid w:val="001F60CF"/>
    <w:rsid w:val="001F6740"/>
    <w:rsid w:val="00203170"/>
    <w:rsid w:val="00203E17"/>
    <w:rsid w:val="00210474"/>
    <w:rsid w:val="00226B46"/>
    <w:rsid w:val="00227578"/>
    <w:rsid w:val="00234E37"/>
    <w:rsid w:val="002378BC"/>
    <w:rsid w:val="00244C6B"/>
    <w:rsid w:val="002502A3"/>
    <w:rsid w:val="00254EE9"/>
    <w:rsid w:val="002643B5"/>
    <w:rsid w:val="00287C91"/>
    <w:rsid w:val="00297862"/>
    <w:rsid w:val="002A69D7"/>
    <w:rsid w:val="002A7DE5"/>
    <w:rsid w:val="002B5899"/>
    <w:rsid w:val="002C38B0"/>
    <w:rsid w:val="00301B78"/>
    <w:rsid w:val="00301F5B"/>
    <w:rsid w:val="0030498B"/>
    <w:rsid w:val="00310654"/>
    <w:rsid w:val="0031336F"/>
    <w:rsid w:val="00313C81"/>
    <w:rsid w:val="00316C68"/>
    <w:rsid w:val="00342D98"/>
    <w:rsid w:val="00347338"/>
    <w:rsid w:val="0035502A"/>
    <w:rsid w:val="00355147"/>
    <w:rsid w:val="00360C33"/>
    <w:rsid w:val="00377F02"/>
    <w:rsid w:val="00387088"/>
    <w:rsid w:val="00394D56"/>
    <w:rsid w:val="00396BD4"/>
    <w:rsid w:val="003A09DC"/>
    <w:rsid w:val="003A3D4B"/>
    <w:rsid w:val="003B13D1"/>
    <w:rsid w:val="003E5A50"/>
    <w:rsid w:val="003F0501"/>
    <w:rsid w:val="004058FE"/>
    <w:rsid w:val="004262D8"/>
    <w:rsid w:val="0042750F"/>
    <w:rsid w:val="00447B8B"/>
    <w:rsid w:val="00451CBE"/>
    <w:rsid w:val="0046174B"/>
    <w:rsid w:val="00463066"/>
    <w:rsid w:val="0046622E"/>
    <w:rsid w:val="00487304"/>
    <w:rsid w:val="004B753A"/>
    <w:rsid w:val="004C139B"/>
    <w:rsid w:val="004C74B5"/>
    <w:rsid w:val="004D190E"/>
    <w:rsid w:val="004D6B65"/>
    <w:rsid w:val="004D7806"/>
    <w:rsid w:val="00542027"/>
    <w:rsid w:val="005565BE"/>
    <w:rsid w:val="00560604"/>
    <w:rsid w:val="00565DFF"/>
    <w:rsid w:val="005705EB"/>
    <w:rsid w:val="0058153D"/>
    <w:rsid w:val="00581E79"/>
    <w:rsid w:val="0058325B"/>
    <w:rsid w:val="005B59F3"/>
    <w:rsid w:val="005F02A6"/>
    <w:rsid w:val="005F39F2"/>
    <w:rsid w:val="00614375"/>
    <w:rsid w:val="0065066B"/>
    <w:rsid w:val="00653E60"/>
    <w:rsid w:val="0066060A"/>
    <w:rsid w:val="006A7DBD"/>
    <w:rsid w:val="006B2BA8"/>
    <w:rsid w:val="006B6313"/>
    <w:rsid w:val="006B6F30"/>
    <w:rsid w:val="006C0527"/>
    <w:rsid w:val="006D67CE"/>
    <w:rsid w:val="00712256"/>
    <w:rsid w:val="007200EB"/>
    <w:rsid w:val="00781588"/>
    <w:rsid w:val="00784400"/>
    <w:rsid w:val="0079022C"/>
    <w:rsid w:val="00790A7E"/>
    <w:rsid w:val="007974F0"/>
    <w:rsid w:val="007B1D59"/>
    <w:rsid w:val="007E720C"/>
    <w:rsid w:val="007F0FF9"/>
    <w:rsid w:val="00807A60"/>
    <w:rsid w:val="00810E02"/>
    <w:rsid w:val="00826252"/>
    <w:rsid w:val="008351B2"/>
    <w:rsid w:val="008421F1"/>
    <w:rsid w:val="00842C6C"/>
    <w:rsid w:val="0085000F"/>
    <w:rsid w:val="00851002"/>
    <w:rsid w:val="00866B2B"/>
    <w:rsid w:val="00873D76"/>
    <w:rsid w:val="00885224"/>
    <w:rsid w:val="008908CA"/>
    <w:rsid w:val="00891D64"/>
    <w:rsid w:val="008A3E6D"/>
    <w:rsid w:val="008B3574"/>
    <w:rsid w:val="008B5D75"/>
    <w:rsid w:val="008B763B"/>
    <w:rsid w:val="008F36C3"/>
    <w:rsid w:val="009043D6"/>
    <w:rsid w:val="009078BD"/>
    <w:rsid w:val="0092318B"/>
    <w:rsid w:val="00930944"/>
    <w:rsid w:val="0095138C"/>
    <w:rsid w:val="00962CF7"/>
    <w:rsid w:val="009658BB"/>
    <w:rsid w:val="00971E54"/>
    <w:rsid w:val="009B3EA8"/>
    <w:rsid w:val="009B51E2"/>
    <w:rsid w:val="009C432F"/>
    <w:rsid w:val="009D36B3"/>
    <w:rsid w:val="00A05D49"/>
    <w:rsid w:val="00A53109"/>
    <w:rsid w:val="00A57867"/>
    <w:rsid w:val="00AC6393"/>
    <w:rsid w:val="00AD0207"/>
    <w:rsid w:val="00AD1554"/>
    <w:rsid w:val="00AE5070"/>
    <w:rsid w:val="00AE5CEE"/>
    <w:rsid w:val="00B117F0"/>
    <w:rsid w:val="00B16FC3"/>
    <w:rsid w:val="00B37EA2"/>
    <w:rsid w:val="00B63C10"/>
    <w:rsid w:val="00B66016"/>
    <w:rsid w:val="00B81215"/>
    <w:rsid w:val="00BA462B"/>
    <w:rsid w:val="00BA57FA"/>
    <w:rsid w:val="00BC36C7"/>
    <w:rsid w:val="00BD1CAE"/>
    <w:rsid w:val="00BD1DB3"/>
    <w:rsid w:val="00BE242E"/>
    <w:rsid w:val="00C17C59"/>
    <w:rsid w:val="00C208BB"/>
    <w:rsid w:val="00C460E7"/>
    <w:rsid w:val="00C50EE6"/>
    <w:rsid w:val="00C6032B"/>
    <w:rsid w:val="00C60FED"/>
    <w:rsid w:val="00C6380B"/>
    <w:rsid w:val="00C8070D"/>
    <w:rsid w:val="00CA48FD"/>
    <w:rsid w:val="00CA720F"/>
    <w:rsid w:val="00CB3634"/>
    <w:rsid w:val="00CD496B"/>
    <w:rsid w:val="00CD6E0F"/>
    <w:rsid w:val="00CE0881"/>
    <w:rsid w:val="00CE0EFF"/>
    <w:rsid w:val="00CE145E"/>
    <w:rsid w:val="00D238F6"/>
    <w:rsid w:val="00D24284"/>
    <w:rsid w:val="00D57E00"/>
    <w:rsid w:val="00D71056"/>
    <w:rsid w:val="00D76C53"/>
    <w:rsid w:val="00D806F2"/>
    <w:rsid w:val="00DC1563"/>
    <w:rsid w:val="00DE312D"/>
    <w:rsid w:val="00DF7D0B"/>
    <w:rsid w:val="00E064BC"/>
    <w:rsid w:val="00E07379"/>
    <w:rsid w:val="00E40092"/>
    <w:rsid w:val="00E41014"/>
    <w:rsid w:val="00E42106"/>
    <w:rsid w:val="00E53818"/>
    <w:rsid w:val="00E57957"/>
    <w:rsid w:val="00E92EDB"/>
    <w:rsid w:val="00EA029D"/>
    <w:rsid w:val="00EB67EE"/>
    <w:rsid w:val="00EC7D20"/>
    <w:rsid w:val="00EF1FEC"/>
    <w:rsid w:val="00F008B8"/>
    <w:rsid w:val="00F043EA"/>
    <w:rsid w:val="00F337FC"/>
    <w:rsid w:val="00F73F9F"/>
    <w:rsid w:val="00F77CBB"/>
    <w:rsid w:val="00F85134"/>
    <w:rsid w:val="00F91BB3"/>
    <w:rsid w:val="00FA3EC0"/>
    <w:rsid w:val="00FA3F93"/>
    <w:rsid w:val="00FA5AD4"/>
    <w:rsid w:val="00FB44D1"/>
    <w:rsid w:val="00FD319E"/>
    <w:rsid w:val="00FD39DB"/>
    <w:rsid w:val="00FE154F"/>
    <w:rsid w:val="00FE2A00"/>
    <w:rsid w:val="00FF3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59A47"/>
  <w15:docId w15:val="{0593A561-8F4C-4F94-9096-DF6689879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FF347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F3475"/>
  </w:style>
  <w:style w:type="paragraph" w:styleId="Piedepgina">
    <w:name w:val="footer"/>
    <w:basedOn w:val="Normal"/>
    <w:link w:val="PiedepginaCar"/>
    <w:uiPriority w:val="99"/>
    <w:unhideWhenUsed/>
    <w:rsid w:val="00FF347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F3475"/>
  </w:style>
  <w:style w:type="paragraph" w:styleId="Prrafodelista">
    <w:name w:val="List Paragraph"/>
    <w:basedOn w:val="Normal"/>
    <w:uiPriority w:val="34"/>
    <w:qFormat/>
    <w:rsid w:val="002A69D7"/>
    <w:pPr>
      <w:ind w:left="720"/>
      <w:contextualSpacing/>
    </w:pPr>
    <w:rPr>
      <w:rFonts w:asciiTheme="minorHAnsi" w:eastAsiaTheme="minorHAnsi" w:hAnsiTheme="minorHAnsi" w:cstheme="minorBidi"/>
      <w:lang w:val="es-ES"/>
    </w:rPr>
  </w:style>
  <w:style w:type="paragraph" w:styleId="NormalWeb">
    <w:name w:val="Normal (Web)"/>
    <w:basedOn w:val="Normal"/>
    <w:uiPriority w:val="99"/>
    <w:unhideWhenUsed/>
    <w:rsid w:val="00360C3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Refdecomentario">
    <w:name w:val="annotation reference"/>
    <w:basedOn w:val="Fuentedeprrafopredeter"/>
    <w:uiPriority w:val="99"/>
    <w:semiHidden/>
    <w:unhideWhenUsed/>
    <w:rsid w:val="00CE145E"/>
    <w:rPr>
      <w:sz w:val="16"/>
      <w:szCs w:val="16"/>
    </w:rPr>
  </w:style>
  <w:style w:type="paragraph" w:styleId="Textocomentario">
    <w:name w:val="annotation text"/>
    <w:basedOn w:val="Normal"/>
    <w:link w:val="TextocomentarioCar"/>
    <w:uiPriority w:val="99"/>
    <w:unhideWhenUsed/>
    <w:rsid w:val="00CE145E"/>
    <w:pPr>
      <w:spacing w:line="240" w:lineRule="auto"/>
    </w:pPr>
    <w:rPr>
      <w:sz w:val="20"/>
      <w:szCs w:val="20"/>
    </w:rPr>
  </w:style>
  <w:style w:type="character" w:customStyle="1" w:styleId="TextocomentarioCar">
    <w:name w:val="Texto comentario Car"/>
    <w:basedOn w:val="Fuentedeprrafopredeter"/>
    <w:link w:val="Textocomentario"/>
    <w:uiPriority w:val="99"/>
    <w:rsid w:val="00CE145E"/>
    <w:rPr>
      <w:sz w:val="20"/>
      <w:szCs w:val="20"/>
    </w:rPr>
  </w:style>
  <w:style w:type="paragraph" w:styleId="Asuntodelcomentario">
    <w:name w:val="annotation subject"/>
    <w:basedOn w:val="Textocomentario"/>
    <w:next w:val="Textocomentario"/>
    <w:link w:val="AsuntodelcomentarioCar"/>
    <w:uiPriority w:val="99"/>
    <w:semiHidden/>
    <w:unhideWhenUsed/>
    <w:rsid w:val="00CE145E"/>
    <w:rPr>
      <w:b/>
      <w:bCs/>
    </w:rPr>
  </w:style>
  <w:style w:type="character" w:customStyle="1" w:styleId="AsuntodelcomentarioCar">
    <w:name w:val="Asunto del comentario Car"/>
    <w:basedOn w:val="TextocomentarioCar"/>
    <w:link w:val="Asuntodelcomentario"/>
    <w:uiPriority w:val="99"/>
    <w:semiHidden/>
    <w:rsid w:val="00CE145E"/>
    <w:rPr>
      <w:b/>
      <w:bCs/>
      <w:sz w:val="20"/>
      <w:szCs w:val="20"/>
    </w:rPr>
  </w:style>
  <w:style w:type="paragraph" w:styleId="Revisin">
    <w:name w:val="Revision"/>
    <w:hidden/>
    <w:uiPriority w:val="99"/>
    <w:semiHidden/>
    <w:rsid w:val="004C139B"/>
    <w:pPr>
      <w:spacing w:after="0" w:line="240" w:lineRule="auto"/>
    </w:pPr>
  </w:style>
  <w:style w:type="paragraph" w:customStyle="1" w:styleId="Textonotapie1">
    <w:name w:val="Texto nota pie1"/>
    <w:basedOn w:val="Normal"/>
    <w:next w:val="Textonotapie"/>
    <w:link w:val="TextonotapieCar"/>
    <w:uiPriority w:val="99"/>
    <w:semiHidden/>
    <w:unhideWhenUsed/>
    <w:rsid w:val="00A53109"/>
    <w:pPr>
      <w:spacing w:after="0" w:line="240" w:lineRule="auto"/>
    </w:pPr>
    <w:rPr>
      <w:sz w:val="20"/>
      <w:szCs w:val="20"/>
    </w:rPr>
  </w:style>
  <w:style w:type="character" w:customStyle="1" w:styleId="TextonotapieCar">
    <w:name w:val="Texto nota pie Car"/>
    <w:basedOn w:val="Fuentedeprrafopredeter"/>
    <w:link w:val="Textonotapie1"/>
    <w:uiPriority w:val="99"/>
    <w:semiHidden/>
    <w:rsid w:val="00A53109"/>
    <w:rPr>
      <w:sz w:val="20"/>
      <w:szCs w:val="20"/>
    </w:rPr>
  </w:style>
  <w:style w:type="character" w:styleId="Refdenotaalpie">
    <w:name w:val="footnote reference"/>
    <w:basedOn w:val="Fuentedeprrafopredeter"/>
    <w:uiPriority w:val="99"/>
    <w:semiHidden/>
    <w:unhideWhenUsed/>
    <w:rsid w:val="00A53109"/>
    <w:rPr>
      <w:vertAlign w:val="superscript"/>
    </w:rPr>
  </w:style>
  <w:style w:type="character" w:customStyle="1" w:styleId="Hipervnculo1">
    <w:name w:val="Hipervínculo1"/>
    <w:basedOn w:val="Fuentedeprrafopredeter"/>
    <w:uiPriority w:val="99"/>
    <w:unhideWhenUsed/>
    <w:rsid w:val="00A53109"/>
    <w:rPr>
      <w:color w:val="0563C1"/>
      <w:u w:val="single"/>
    </w:rPr>
  </w:style>
  <w:style w:type="table" w:customStyle="1" w:styleId="Tablaconcuadrcula1">
    <w:name w:val="Tabla con cuadrícula1"/>
    <w:basedOn w:val="Tablanormal"/>
    <w:next w:val="Tablaconcuadrcula"/>
    <w:uiPriority w:val="39"/>
    <w:rsid w:val="00A53109"/>
    <w:pPr>
      <w:spacing w:after="0" w:line="240" w:lineRule="auto"/>
    </w:pPr>
    <w:rPr>
      <w:rFonts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1"/>
    <w:uiPriority w:val="99"/>
    <w:semiHidden/>
    <w:unhideWhenUsed/>
    <w:rsid w:val="00A53109"/>
    <w:pPr>
      <w:spacing w:after="0" w:line="240" w:lineRule="auto"/>
    </w:pPr>
    <w:rPr>
      <w:sz w:val="20"/>
      <w:szCs w:val="20"/>
    </w:rPr>
  </w:style>
  <w:style w:type="character" w:customStyle="1" w:styleId="TextonotapieCar1">
    <w:name w:val="Texto nota pie Car1"/>
    <w:basedOn w:val="Fuentedeprrafopredeter"/>
    <w:link w:val="Textonotapie"/>
    <w:uiPriority w:val="99"/>
    <w:semiHidden/>
    <w:rsid w:val="00A53109"/>
    <w:rPr>
      <w:sz w:val="20"/>
      <w:szCs w:val="20"/>
    </w:rPr>
  </w:style>
  <w:style w:type="table" w:styleId="Tablaconcuadrcula">
    <w:name w:val="Table Grid"/>
    <w:basedOn w:val="Tablanormal"/>
    <w:uiPriority w:val="39"/>
    <w:rsid w:val="00A53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94D56"/>
    <w:rPr>
      <w:color w:val="0000FF" w:themeColor="hyperlink"/>
      <w:u w:val="single"/>
    </w:rPr>
  </w:style>
  <w:style w:type="character" w:styleId="Mencinsinresolver">
    <w:name w:val="Unresolved Mention"/>
    <w:basedOn w:val="Fuentedeprrafopredeter"/>
    <w:uiPriority w:val="99"/>
    <w:semiHidden/>
    <w:unhideWhenUsed/>
    <w:rsid w:val="00394D56"/>
    <w:rPr>
      <w:color w:val="605E5C"/>
      <w:shd w:val="clear" w:color="auto" w:fill="E1DFDD"/>
    </w:rPr>
  </w:style>
  <w:style w:type="character" w:styleId="Hipervnculovisitado">
    <w:name w:val="FollowedHyperlink"/>
    <w:basedOn w:val="Fuentedeprrafopredeter"/>
    <w:uiPriority w:val="99"/>
    <w:semiHidden/>
    <w:unhideWhenUsed/>
    <w:rsid w:val="003F05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5922">
      <w:bodyDiv w:val="1"/>
      <w:marLeft w:val="0"/>
      <w:marRight w:val="0"/>
      <w:marTop w:val="0"/>
      <w:marBottom w:val="0"/>
      <w:divBdr>
        <w:top w:val="none" w:sz="0" w:space="0" w:color="auto"/>
        <w:left w:val="none" w:sz="0" w:space="0" w:color="auto"/>
        <w:bottom w:val="none" w:sz="0" w:space="0" w:color="auto"/>
        <w:right w:val="none" w:sz="0" w:space="0" w:color="auto"/>
      </w:divBdr>
    </w:div>
    <w:div w:id="1243760587">
      <w:bodyDiv w:val="1"/>
      <w:marLeft w:val="0"/>
      <w:marRight w:val="0"/>
      <w:marTop w:val="0"/>
      <w:marBottom w:val="0"/>
      <w:divBdr>
        <w:top w:val="none" w:sz="0" w:space="0" w:color="auto"/>
        <w:left w:val="none" w:sz="0" w:space="0" w:color="auto"/>
        <w:bottom w:val="none" w:sz="0" w:space="0" w:color="auto"/>
        <w:right w:val="none" w:sz="0" w:space="0" w:color="auto"/>
      </w:divBdr>
    </w:div>
    <w:div w:id="1670017959">
      <w:bodyDiv w:val="1"/>
      <w:marLeft w:val="0"/>
      <w:marRight w:val="0"/>
      <w:marTop w:val="0"/>
      <w:marBottom w:val="0"/>
      <w:divBdr>
        <w:top w:val="none" w:sz="0" w:space="0" w:color="auto"/>
        <w:left w:val="none" w:sz="0" w:space="0" w:color="auto"/>
        <w:bottom w:val="none" w:sz="0" w:space="0" w:color="auto"/>
        <w:right w:val="none" w:sz="0" w:space="0" w:color="auto"/>
      </w:divBdr>
    </w:div>
    <w:div w:id="2062777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F3D50-7D1A-4865-BFE5-2AE2530FC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Pages>
  <Words>2</Words>
  <Characters>16</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franco1 marconi</cp:lastModifiedBy>
  <cp:revision>12</cp:revision>
  <cp:lastPrinted>2024-09-12T19:30:00Z</cp:lastPrinted>
  <dcterms:created xsi:type="dcterms:W3CDTF">2024-09-17T17:58:00Z</dcterms:created>
  <dcterms:modified xsi:type="dcterms:W3CDTF">2026-01-27T13:39:00Z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ffc068bd2e02df4eeb8795c9e65fe78f41b55f45276d1d0e36ffc4546ebb0bd9</vt:lpwstr>
  </property>
</Properties>
</file>