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428750" cy="552450"/>
            <wp:effectExtent t="0" r="0" b="0" l="0"/>
            <wp:docPr id="1" name="logo" descr="Logo" title="Libertad y Pro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Open Sans" w:cs="Open Sans" w:eastAsia="Open Sans" w:hAnsi="Open Sans"/>
          <w:b/>
          <w:bCs/>
          <w:color w:val="C1121C"/>
          <w:sz w:val="36"/>
          <w:szCs w:val="36"/>
        </w:rPr>
        <w:t xml:space="preserve">MIA — Expansión internacional y estrategia de financiamiento</w:t>
      </w:r>
    </w:p>
    <w:p>
      <w:pPr>
        <w:spacing w:after="8"/>
      </w:pPr>
      <w:r>
        <w:rPr>
          <w:rFonts w:ascii="Open Sans" w:cs="Open Sans" w:eastAsia="Open Sans" w:hAnsi="Open Sans"/>
          <w:color w:val="404040"/>
          <w:sz w:val="20"/>
          <w:szCs w:val="20"/>
        </w:rPr>
        <w:t xml:space="preserve">Encaje con la John Templeton Foundation (Individual Freedom &amp; Free Markets) y plan de trabajo para llevar el Monitor Institucional Argentino a otros países</w:t>
      </w:r>
    </w:p>
    <w:p>
      <w:pPr>
        <w:spacing w:after="60"/>
      </w:pPr>
      <w:r>
        <w:rPr>
          <w:rFonts w:ascii="Open Sans" w:cs="Open Sans" w:eastAsia="Open Sans" w:hAnsi="Open Sans"/>
          <w:color w:val="767676"/>
          <w:sz w:val="16"/>
          <w:szCs w:val="16"/>
        </w:rPr>
        <w:t xml:space="preserve">Departamento de Políticas Públicas — Fundación Libertad y Progreso · Documento de trabajo · Julio 2026</w:t>
      </w:r>
    </w:p>
    <w:p>
      <w:pPr>
        <w:pBdr>
          <w:left w:val="single" w:color="C1121C" w:sz="18" w:space="6"/>
        </w:pBdr>
        <w:shd w:fill="FCEAEA" w:color="auto" w:val="clear"/>
        <w:spacing w:after="140" w:before="60" w:line="262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Alerta de plazo.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El ciclo 2026 de Templeton cierra la inscripción inicial (OFI) el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15 de julio de 2026, 23:59 EDT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a pocos días de la fecha de este documento. Si queremos entrar en el ciclo 2026 hay que presentar el OFI (un formulario breve) esta semana; de lo contrario, el objetivo natural es el ciclo 2027. El OFI es corto y no compromete: conviene presentarlo aunque el proyecto no esté 100% cerrado.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Resumen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Este documento reúne dos tareas que se refuerzan entre sí. Primero, dónde y cómo puede Libertad y Progreso aplicar al financiamiento de la John Templeton Foundation (JTF) en su área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Individual Freedom &amp; Free Markets (IFFM)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Segundo, un plan de trabajo para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expandir el MIA a otros países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señalando los huecos de datos y las decisiones de diseño que el equipo debe resolver. La conexión es directa: la expansión internacional del MIA es, en sí misma, el proyecto financiable que mejor encaja con la convocatoria de Templeton.</w:t>
      </w:r>
    </w:p>
    <w:p>
      <w:pPr>
        <w:spacing w:after="140" w:before="200"/>
      </w:pPr>
      <w:r>
        <w:rPr>
          <w:rFonts w:ascii="Open Sans" w:cs="Open Sans" w:eastAsia="Open Sans" w:hAnsi="Open Sans"/>
          <w:b/>
          <w:bCs/>
          <w:color w:val="C1121C"/>
          <w:sz w:val="30"/>
          <w:szCs w:val="30"/>
        </w:rPr>
        <w:t xml:space="preserve">Parte A · Estrategia de financiamiento (John Templeton Foundation)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1. Qué financia IFFM en 2026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área Individual Freedom &amp; Free Markets financia educación, investigación y difusión que promuevan la libertad individual, los mercados libres y el emprendimiento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desde la tradición del liberalismo clásico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Para 2026 busca proyectos 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tres años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en al menos una de tres categorías: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Educational Innovations for Freedom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enseñar las ideas del liberalismo clásico a una nueva generación, con métodos actualizados y adaptados a audiencias no occidentales.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Research at the Vanguard of Freedom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investigación que ponga a la tradición liberal clásica en el centro de los debates académicos y de política pública, en diálogo con sus críticos.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Freedom Catalysts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proyectos de la sociedad civil que apliquen los principios liberales de formas nuevas y de alto impacto.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Además, la Fundación atraviesa toda su cartera en 2026 con el tema transversal de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inteligencia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(su nueva Intelligence Venture, con más de US$60 millones). Exige que los conceptos liberales clásicos —mercados y comercio libres, libertades fundamentales, propiedad privada, conocimiento disperso,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gobierno limitado (descentralización, límites constitucionales al poder)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asociaciones voluntarias, tolerancia y paz— sean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centrales, no incidentales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y valora un plan explícito de difusión a audiencias amplias y escépticas.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2. Dónde encaja el MIA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MIA mide, con dato duro y alta frecuencia, exactamente los pilares que Templeton pone en el centro: gobierno limitado, frenos y contrapesos, reglas debatidas en el Congreso y no impuestas por decreto, independencia y celeridad judicial, disciplina monetaria y libertad de prensa. Es un instrumento del liberalismo clásico aplicado a la calidad institucional. El encaje por categoría: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4200"/>
        <w:gridCol w:w="4160"/>
        <w:gridCol w:w="1000"/>
      </w:tblGrid>
      <w:tr>
        <w:trPr>
          <w:tblHeader/>
        </w:trP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Categoría Templeton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Encaje del MIA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Research at the Vanguard of Freedom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Alto: el MIA es investigación aplicada sobre backsliding democrático, post-constitucionalismo y gobierno por decreto — temas explícitos de la convocatoria.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Primaria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Freedom Catalysts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Alto: un índice público, transparente y multipaís que rinde cuentas a los gobiernos frente a estándares liberales es una “ventura” de sociedad civil.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Secundaria</w:t>
            </w:r>
          </w:p>
        </w:tc>
      </w:tr>
      <w:tr>
        <w:tc>
          <w:tcPr>
            <w:tcW w:type="dxa" w:w="4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Educational Innovations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Medio: el índice y su tablero sirven para enseñar análisis institucional liberal a nueva generación y audiencias de la región.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Complementaria</w:t>
            </w:r>
          </w:p>
        </w:tc>
      </w:tr>
    </w:tbl>
    <w:p>
      <w:pPr>
        <w:spacing w:after="80"/>
      </w:pPr>
    </w:p>
    <w:p>
      <w:pPr>
        <w:spacing w:after="130" w:line="262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Recomendación: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presentar bajo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Research at the Vanguard of Freedom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tópico “Institutional reform and individual responsibility” (declive democrático, populismo iliberal, post-constitucionalismo), usando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expansión internacional del MIA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como vehículo. Se declara componente de difusión (Freedom Catalyst) y educativo, pero el rasgo dominante es la investigación.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Ángulo “Inteligencia” (suma competitividad):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el MIA mantiene su valor publicado 100% determinístico y auditable —sin IA—, pero se apoya en una capa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detección asistida por IA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(los radares del Boletín Oficial que identifican nombramientos, bajas y eventos institucionales, y reparación/QA de scrapers). Ese diseño —IA para detectar señales institucionales a escala, con un valor final auditable— dialoga directamente con la Intelligence Venture y con el tópico “power centralized and decentralized”.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3. Requisitos, plazos y montos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Aspecto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Qué dice Templeton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Implicancia para LyP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Elegibilidad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Financia organizaciones de caridad, dentro y fuera de EE.UU. No financia individuos ni empresas.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LyP (fundación) es elegible.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Proceso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Dos etapas: OFI breve → Full Proposal por invitación.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Primero el OFI; la propuesta completa solo si nos invitan.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Plazo 2026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OFI: 15-jul-2026. Decisión de OFI: sept–9-oct-2026. Full Proposal: 4-dic-2026. Aviso final: jul-2027.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Ventana 2026 casi cerrada (ver alerta).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Duración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Hasta 3 años (excepcionalmente 5).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Calza con un plan de expansión a 3 años.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Overhead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Máximo 15% de los costos directos.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Presupuestar indirectos ≤15%.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Co-financiamiento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No exigido a nuevos aplicantes, pero prioriza proyectos con fondos de otras fuentes.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Sumar aportes propios / de la red conviene.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Lobbying</w:t>
            </w:r>
          </w:p>
        </w:tc>
        <w:tc>
          <w:tcPr>
            <w:tcW w:type="dxa" w:w="4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No financia lobbying directo ni de bases, ni fuera de EE.UU.</w:t>
            </w:r>
          </w:p>
        </w:tc>
        <w:tc>
          <w:tcPr>
            <w:tcW w:type="dxa" w:w="3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El MIA es medición/investigación: cumple. Cuidar el encuadre (medir, no militar reformas).</w:t>
            </w:r>
          </w:p>
        </w:tc>
      </w:tr>
    </w:tbl>
    <w:p>
      <w:pPr>
        <w:spacing w:after="80"/>
      </w:pP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Sobre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montos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: Templeton no publica un rango fijo para IFFM; el umbral que usa para renovaciones (US$260.000 para grants iniciados después de 2022) sugiere que los proyectos plurianuales suelen ubicarse en el rango de seis cifras. Un proyecto regional a tres años, con equipo, infraestructura por país y subgrants a socios locales, podría plantearse en el orden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US$300.000–600.000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cifra a definir internamente antes del OFI (el formulario pide el monto solicitado). Es un valor orientativo, no una recomendación cerrada.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restricción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lobbying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es el punto fino: el MIA debe presentarse como lo que es —un instrumento de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medición e investigación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que informa el debate público—, evitando lenguaje que sugiera militar o promover reformas legislativas concretas.</w:t>
      </w:r>
    </w:p>
    <w:p>
      <w:pPr>
        <w:pageBreakBefore/>
        <w:spacing w:after="0"/>
      </w:pPr>
    </w:p>
    <w:p>
      <w:pPr>
        <w:spacing w:after="140" w:before="200"/>
      </w:pPr>
      <w:r>
        <w:rPr>
          <w:rFonts w:ascii="Open Sans" w:cs="Open Sans" w:eastAsia="Open Sans" w:hAnsi="Open Sans"/>
          <w:b/>
          <w:bCs/>
          <w:color w:val="C1121C"/>
          <w:sz w:val="30"/>
          <w:szCs w:val="30"/>
        </w:rPr>
        <w:t xml:space="preserve">Parte B · Plan de trabajo: expansión internacional del MIA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4. Por qué expandir, y contra qué nos medimos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MIA aporta algo que hoy no existe en la región: un índice de calidad republicana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mensual y construido con dato duro de fuentes primarias nacionales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Los índices internacionales de referencia —V-Dem, el Rule of Law Index del World Justice Project, el Open Budget Index del IBP, la libertad de prensa de RSF, la libertad económica de Fraser/Heritage— son valiosos pero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anuales y en buena medida basados en encuestas de percepción o paneles de expertos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. La ventaja competitiva del MIA es la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frecuencia mensual y la trazabilidad al acto administrativo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(un decreto, una ejecución presupuestaria, un nombramiento). Estos índices internacionales, además, nos sirven de doble apoyo: como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ancla/comparador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y como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fuente de respaldo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donde el dato primario nacional falte.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5. El desafío central: qué es universal y qué es argentino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MIA está hoy cableado a fuentes argentinas (BORA, DGSIAF, BCRA, datos.jus, InfoLeg, CSJN, AAIP). Expandir no es traducir: es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abstraer cada variable a una definición país-agnóstica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y construir un “adaptador de fuente” por país. La siguiente tabla clasifica las 18 variables por su portabilidad: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Variable (eje)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Portabilidad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Comentario / hueco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DNU vs Leyes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Todo presidencialismo tiene decretos de urgencia (medidas provisórias en Brasil, etc.); definir el equivalente.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Discrecionalidad presup.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Requiere datos de ejecución presupuestaria; granularidad dispar por país.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Transparencia / AIP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7"/>
                <w:szCs w:val="17"/>
              </w:rPr>
              <w:t xml:space="preserve">Universal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Casi todos tienen ley de acceso; medir respuestas en término.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ATN / federalismo (Ejec.)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7"/>
                <w:szCs w:val="17"/>
              </w:rPr>
              <w:t xml:space="preserve">AR-específica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Transferencias discrecionales a provincias. Solo aplica a países federales (Brasil, México); en unitarios hay que reemplazar o excluir.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Eficacia de Control (Legis.)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Pedidos de informe y su respuesta; disponibilidad variable.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Calidad Normativa (Legis.)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Peso de normativa sustantiva vs. cosmética.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Costo del Legislativo (Legis.)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Datos de gasto parlamentario; a veces opacos.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Desempeño de la Corte (Jud.)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Resolución de conflictos de competencia; datos judiciales débiles casi en todos lados.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Cobertura Judicial (Jud.)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7"/>
                <w:szCs w:val="17"/>
              </w:rPr>
              <w:t xml:space="preserve">Difícil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Vacantes y subrogancias: el mayor hueco. Datos de cargos rara vez están estandarizados.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Prensa (5 variables)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Escrutinio, pauta oficial, causas a periodistas, medios estatales, acceso. La pauta oficial es un hueco frecuente; apoyarse en RSF y ONG locales.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BCRA (4 variables)</w:t>
            </w:r>
          </w:p>
        </w:tc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Adaptar</w:t>
            </w:r>
          </w:p>
        </w:tc>
        <w:tc>
          <w:tcPr>
            <w:tcW w:type="dxa" w:w="4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Financiamiento monetario al Tesoro, independencia y carta orgánica. Aplica donde hay banco central con datos (la mayoría).</w:t>
            </w:r>
          </w:p>
        </w:tc>
      </w:tr>
    </w:tbl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6. Países candidatos (por calidad de datos)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La selección debe equilibrar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interés temático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(dónde la calidad republicana está en juego) con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factibilidad de datos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(dónde las fuentes primarias existen y son fiables). Propuesta de tres niveles, a confirmar por el equipo: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500"/>
        <w:gridCol w:w="2600"/>
        <w:gridCol w:w="1500"/>
        <w:gridCol w:w="3760"/>
      </w:tblGrid>
      <w:tr>
        <w:trPr>
          <w:tblHeader/>
        </w:trP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Nivel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Países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Calidad de datos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Piloto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Chile, Uruguay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7A34"/>
                <w:sz w:val="17"/>
                <w:szCs w:val="17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Gaceta oficial digital, alta transparencia presupuestaria, banco central independiente y transparente, instituciones estables. Menos huecos: ideales para validar la metodología.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Escalado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Brasil, Colombia, Perú, México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9A6B00"/>
                <w:sz w:val="17"/>
                <w:szCs w:val="17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Buenos datos pero más complejos: federalismo (Brasil, México), volumen normativo, calidad dispar. Alto valor regional.</w:t>
            </w:r>
          </w:p>
        </w:tc>
      </w:tr>
      <w:tr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Difícil / alto interés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Venezuela, Bolivia, Nicaragua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B02020"/>
                <w:sz w:val="17"/>
                <w:szCs w:val="17"/>
              </w:rPr>
              <w:t xml:space="preserve">Baja</w:t>
            </w:r>
          </w:p>
        </w:tc>
        <w:tc>
          <w:tcPr>
            <w:tcW w:type="dxa" w:w="3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Máximo interés temático (deterioro institucional) pero fuentes escasas o manipuladas. Medibles solo con proxies internacionales, con salvedades.</w:t>
            </w:r>
          </w:p>
        </w:tc>
      </w:tr>
    </w:tbl>
    <w:p>
      <w:pPr>
        <w:spacing w:after="80"/>
      </w:pPr>
    </w:p>
    <w:p>
      <w:pPr>
        <w:spacing w:after="80" w:line="240"/>
      </w:pPr>
      <w:r>
        <w:rPr>
          <w:rFonts w:ascii="Open Sans" w:cs="Open Sans" w:eastAsia="Open Sans" w:hAnsi="Open Sans"/>
          <w:i/>
          <w:iCs/>
          <w:color w:val="767676"/>
          <w:sz w:val="16"/>
          <w:szCs w:val="16"/>
        </w:rPr>
        <w:t xml:space="preserve">Nota: los diagnósticos de “calidad de datos” son una evaluación preliminar basada en el panorama regional; deben verificarse país por país en la Fase 1 (auditoría de fuentes), contrastando con el Open Budget Index, V-Dem y el WJP. Gacetas oficiales de referencia: Diario Oficial (Chile), IMPO (Uruguay), Diário Oficial da União (Brasil), Diario Oficial (Colombia), El Peruano (Perú), DOF (México).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7. Huecos y decisiones abiertas (para que las determinemos)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Estos son los puntos donde el diseño no se puede cerrar sin una definición del equipo. Los dejamos explícitos para decidirlos antes de arrancar: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Comparabilidad vs. fidelidad local.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¿Ancla universal (mismo “ideal” para todos los países, permite un ranking regional comparable) o ancla país-relativa (mide la trayectoria propia de cada país, más justa pero no comparable entre sí)? Es la decisión metodológica más importante.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Pesos.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¿Mantener 30/20/20/15/15 en todos los países o ajustarlos a cada arquitectura institucional?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Variables argentinas.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Qué hacer con ATN/coparticipación en países unitarios: reemplazar por un proxy de descentralización fiscal o excluir y renormalizar el eje.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Frecuencia.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El sello del MIA es mensual; en variables donde un país solo publica dato anual, ¿bajamos la frecuencia de esa variable o usamos un proxy de alta frecuencia?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Dato primario vs. índices internacionales.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¿Construir todo con fuente nacional (caro, máxima fidelidad) o combinar con V-Dem/WJP/OBI donde no haya (comparable pero anual y de percepción)? Probablemente un esquema mixto con la fuente marcada por variable.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Gobernanza.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¿Equipo central de LyP que opera todo, o una red de socios locales (think tanks liberales de la región: red Atlas Network / RELIAL) que curan y validan sus fuentes? Lo segundo escala mejor y suma difusión, pero exige coordinación y control de calidad.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Geobloqueo de IP.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Como en Argentina, muchas fuentes oficiales bloquean IP del exterior; cada país puede requerir un servidor con IP local o un socio que corra el pipeline.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Principio no-IA en el valor.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Se mantiene: la IA solo se usa para adaptadores de fuente, detección de eventos y QA, nunca para el número publicado. Es también un argumento de venta ante Templeton (auditable) y ante la crítica académica.</w:t>
      </w:r>
    </w:p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8. Fases y cronograma (36 meses, alineado al grant)</w:t>
      </w:r>
    </w:p>
    <w:tbl>
      <w:tblPr>
        <w:tblW w:type="dxa" w:w="9360"/>
        <w:tblBorders>
          <w:top w:val="single" w:color="D9D9D9" w:sz="1"/>
          <w:left w:val="single" w:color="D9D9D9" w:sz="1"/>
          <w:bottom w:val="single" w:color="D9D9D9" w:sz="1"/>
          <w:right w:val="single" w:color="D9D9D9" w:sz="1"/>
          <w:insideH w:val="single" w:color="D9D9D9" w:sz="1"/>
          <w:insideV w:val="single" w:color="D9D9D9" w:sz="1"/>
        </w:tblBorders>
      </w:tblPr>
      <w:tblGrid>
        <w:gridCol w:w="1900"/>
        <w:gridCol w:w="900"/>
        <w:gridCol w:w="41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Fase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Meses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Trabajo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DE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C1121C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0 · Generalización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1–3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Abstraer variables a definiciones país-agnósticas; arquitectura de adaptadores de fuente; política de anclas y comparabilidad.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Metodología v2 internacional + libro de códigos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1 · Piloto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3–9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Un país (Chile o Uruguay): auditoría de fuentes, mapeo, construcción, validación, socio local.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MIA-país piloto publicado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2 · Escalado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9–18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Tier 1–2 (3–4 países): adaptadores, tablero comparativo regional.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Índice regional multipaís + dashboard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3 · Consolidación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18–30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Automatización por país/socio, control de calidad, reconciliación con snapshots oficiales.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Operación estable y auditada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404040"/>
                <w:sz w:val="17"/>
                <w:szCs w:val="17"/>
              </w:rPr>
              <w:t xml:space="preserve">4 · Difusión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30–36</w:t>
            </w:r>
          </w:p>
        </w:tc>
        <w:tc>
          <w:tcPr>
            <w:tcW w:type="dxa" w:w="4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Publicación regional, outreach académico y de prensa, paper metodológico.</w:t>
            </w:r>
          </w:p>
        </w:tc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404040"/>
                <w:sz w:val="17"/>
                <w:szCs w:val="17"/>
              </w:rPr>
              <w:t xml:space="preserve">Paper + campaña de difusión (requisito Templeton)</w:t>
            </w:r>
          </w:p>
        </w:tc>
      </w:tr>
    </w:tbl>
    <w:p>
      <w:pPr>
        <w:pBdr>
          <w:bottom w:val="single" w:color="C1121C" w:sz="6" w:space="2"/>
        </w:pBdr>
        <w:spacing w:after="100" w:before="220"/>
      </w:pPr>
      <w:r>
        <w:rPr>
          <w:rFonts w:ascii="Open Sans" w:cs="Open Sans" w:eastAsia="Open Sans" w:hAnsi="Open Sans"/>
          <w:b/>
          <w:bCs/>
          <w:color w:val="C1121C"/>
          <w:sz w:val="24"/>
          <w:szCs w:val="24"/>
        </w:rPr>
        <w:t xml:space="preserve">9. Riesgos principales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Datos faltantes o no comparables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el riesgo central; se mitiga con la auditoría de Fase 1 y el esquema mixto con índices internacionales de respaldo.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Dependencia de socios locales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calidad dispar; se mitiga con libro de códigos común, validación central y capacitación.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Sostenibilidad post-grant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un índice mensual exige operación continua; buscar co-financiamiento y automatización desde el día uno.</w:t>
      </w:r>
    </w:p>
    <w:p>
      <w:pPr>
        <w:pStyle w:val="ListParagraph"/>
        <w:numPr>
          <w:ilvl w:val="0"/>
          <w:numId w:val="1"/>
        </w:numPr>
        <w:spacing w:after="60" w:line="258"/>
      </w:pP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Encuadre de lobbying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 — mantener el MIA como medición/investigación, sin militar reformas concretas.</w:t>
      </w:r>
    </w:p>
    <w:p>
      <w:pPr>
        <w:pageBreakBefore/>
        <w:spacing w:after="0"/>
      </w:pPr>
    </w:p>
    <w:p>
      <w:pPr>
        <w:spacing w:after="140" w:before="200"/>
      </w:pPr>
      <w:r>
        <w:rPr>
          <w:rFonts w:ascii="Open Sans" w:cs="Open Sans" w:eastAsia="Open Sans" w:hAnsi="Open Sans"/>
          <w:b/>
          <w:bCs/>
          <w:color w:val="C1121C"/>
          <w:sz w:val="30"/>
          <w:szCs w:val="30"/>
        </w:rPr>
        <w:t xml:space="preserve">Anexo · Borrador de OFI (Online Funding Inquiry)</w:t>
      </w:r>
    </w:p>
    <w:p>
      <w:pPr>
        <w:spacing w:after="80" w:line="240"/>
      </w:pPr>
      <w:r>
        <w:rPr>
          <w:rFonts w:ascii="Open Sans" w:cs="Open Sans" w:eastAsia="Open Sans" w:hAnsi="Open Sans"/>
          <w:i/>
          <w:iCs/>
          <w:color w:val="767676"/>
          <w:sz w:val="16"/>
          <w:szCs w:val="16"/>
        </w:rPr>
        <w:t xml:space="preserve">Insumo para cargar en el portal de Templeton si decidimos entrar al ciclo 2026. Ajustar el monto y los nombres antes de enviar.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Project title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The Argentine Institutional Monitor: a high-frequency, hard-data monitor of institutional quality across Latin America.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Category / statement of significance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Research at the Vanguard of Freedom — “Institutional reform and individual responsibility”. El proyecto lleva la medición objetiva de las instituciones del liberalismo clásico —gobierno limitado, frenos y contrapesos, imperio de la ley, moneda sana y prensa libre— al debate sobre el declive democrático y el post-constitucionalismo en América Latina.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Why is it important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El debate sobre calidad institucional en la región se apoya hoy en índices anuales de percepción. El MIA ofrece una medición </w:t>
      </w:r>
      <w:r>
        <w:rPr>
          <w:rFonts w:ascii="Open Sans" w:cs="Open Sans" w:eastAsia="Open Sans" w:hAnsi="Open Sans"/>
          <w:b/>
          <w:bCs/>
          <w:color w:val="404040"/>
          <w:sz w:val="20"/>
          <w:szCs w:val="20"/>
        </w:rPr>
        <w:t xml:space="preserve">mensual, determinística y auditable, trazable al acto administrativo</w:t>
      </w: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, que permite a ciudadanos, académicos y prensa observar en tiempo casi real si un gobierno respeta o erosiona los límites al poder. Es el liberalismo clásico convertido en instrumento de rendición de cuentas.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Brief description of activities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(1) Generalizar la metodología del MIA argentino a un marco país-agnóstico; (2) construir adaptadores de fuente y publicar un índice mensual para un conjunto inicial de países latinoamericanos; (3) desarrollar un tablero público comparativo; (4) articular una red de think tanks liberales locales; (5) difundir mediante informes, prensa y un paper metodológico. Una capa de detección asistida por IA identifica eventos institucionales en los boletines oficiales, manteniendo el valor publicado 100% determinístico y auditable (vínculo con la Intelligence Venture).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People and organizations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Fundación Libertad y Progreso (Departamento de Políticas Públicas) como líder, con su equipo de datos y sus directores; socios locales de la red regional de centros de pensamiento liberales (Atlas Network / RELIAL) por país; revisores externos académicos a proponer en la Full Proposal.</w:t>
      </w:r>
    </w:p>
    <w:p>
      <w:pPr>
        <w:spacing w:after="70" w:before="150"/>
      </w:pPr>
      <w:r>
        <w:rPr>
          <w:rFonts w:ascii="Open Sans" w:cs="Open Sans" w:eastAsia="Open Sans" w:hAnsi="Open Sans"/>
          <w:b/>
          <w:bCs/>
          <w:color w:val="404040"/>
          <w:sz w:val="21"/>
          <w:szCs w:val="21"/>
        </w:rPr>
        <w:t xml:space="preserve">Request amount / dates</w:t>
      </w:r>
    </w:p>
    <w:p>
      <w:pPr>
        <w:spacing w:after="130" w:line="262"/>
        <w:jc w:val="both"/>
      </w:pPr>
      <w:r>
        <w:rPr>
          <w:rFonts w:ascii="Open Sans" w:cs="Open Sans" w:eastAsia="Open Sans" w:hAnsi="Open Sans"/>
          <w:b w:val="false"/>
          <w:bCs w:val="false"/>
          <w:color w:val="404040"/>
          <w:sz w:val="20"/>
          <w:szCs w:val="20"/>
        </w:rPr>
        <w:t xml:space="preserve">A definir (orden de magnitud sugerido: US$300.000–600.000 a tres años, con overhead ≤15% y un plan de co-financiamiento propio y de la red). Duración: 36 meses.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4"/>
        <w:szCs w:val="14"/>
      </w:rPr>
      <w:t xml:space="preserve">Fundación Libertad y Progreso  ·  </w:t>
    </w:r>
    <w:r>
      <w:rPr>
        <w:rFonts w:ascii="Open Sans" w:cs="Open Sans" w:eastAsia="Open Sans" w:hAnsi="Open Sans"/>
        <w:color w:val="76767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tabs>
        <w:tab w:val="right" w:pos="9360"/>
      </w:tabs>
    </w:pPr>
    <w:r>
      <w:rPr>
        <w:rFonts w:ascii="Open Sans" w:cs="Open Sans" w:eastAsia="Open Sans" w:hAnsi="Open Sans"/>
        <w:b/>
        <w:bCs/>
        <w:color w:val="C1121C"/>
        <w:sz w:val="15"/>
        <w:szCs w:val="15"/>
      </w:rPr>
      <w:t xml:space="preserve">INFORME DE POLÍTICAS PÚBLICAS</w:t>
    </w:r>
    <w:r>
      <w:rPr>
        <w:rFonts w:ascii="Open Sans" w:cs="Open Sans" w:eastAsia="Open Sans" w:hAnsi="Open Sans"/>
        <w:color w:val="767676"/>
        <w:sz w:val="15"/>
        <w:szCs w:val="15"/>
      </w:rPr>
      <w:t xml:space="preserve">	MIA · Expansión internacional y financiamiento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e89fd48973ec0c2be3a1f231084c52230d83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2026-07-06T18:45:15.051Z</dcterms:created>
  <dcterms:modified xsi:type="dcterms:W3CDTF">2026-07-06T18:45:15.052Z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