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line="276" w:lineRule="auto"/>
      </w:pPr>
      <w:r>
        <w:rPr>
          <w:rFonts w:ascii="Open Sans" w:hAnsi="Open Sans" w:cs="Open Sans"/>
          <w:b/>
          <w:i w:val="0"/>
          <w:color w:val="FF0000"/>
          <w:sz w:val="36"/>
        </w:rPr>
        <w:t>MIA — DOCUMENTO DE MEJORAS · ACTUALIZACIÓN (JUNIO 2026)</w:t>
      </w:r>
    </w:p>
    <w:p>
      <w:pPr>
        <w:spacing w:after="160" w:before="0" w:line="276" w:lineRule="auto"/>
        <w:pBdr>
          <w:bottom w:val="single" w:sz="6" w:space="2" w:color="C8102E"/>
        </w:pBdr>
      </w:pPr>
      <w:r>
        <w:rPr>
          <w:rFonts w:ascii="Open Sans" w:hAnsi="Open Sans" w:cs="Open Sans"/>
          <w:b w:val="0"/>
          <w:i/>
          <w:color w:val="777777"/>
          <w:sz w:val="18"/>
        </w:rPr>
        <w:t>Departamento de Políticas Públicas — Fundación Libertad y Progreso · Junio 2026</w:t>
      </w:r>
    </w:p>
    <w:p>
      <w:pPr>
        <w:spacing w:after="200" w:before="0" w:line="276" w:lineRule="auto"/>
      </w:pPr>
      <w:r>
        <w:rPr>
          <w:rFonts w:ascii="Open Sans" w:hAnsi="Open Sans" w:cs="Open Sans"/>
          <w:b w:val="0"/>
          <w:i w:val="0"/>
          <w:color w:val="404040"/>
          <w:sz w:val="20"/>
        </w:rPr>
        <w:t>Addendum al «Documento de Mejoras Metodológicas y Hoja de Ruta». Refleja el estado real del proyecto a junio 2026 y reemplaza, donde corresponda, las propuestas previas de aquel documento.</w:t>
      </w:r>
    </w:p>
    <w:p>
      <w:pPr>
        <w:spacing w:after="120" w:before="240" w:line="276" w:lineRule="auto"/>
      </w:pPr>
      <w:r>
        <w:rPr>
          <w:rFonts w:ascii="Open Sans" w:hAnsi="Open Sans" w:cs="Open Sans"/>
          <w:b/>
          <w:i w:val="0"/>
          <w:color w:val="FF0000"/>
          <w:sz w:val="26"/>
        </w:rPr>
        <w:t>A. Implementado (desde la última versión)</w:t>
      </w:r>
    </w:p>
    <w:p>
      <w:pPr>
        <w:spacing w:after="100" w:before="0" w:line="276" w:lineRule="auto"/>
      </w:pPr>
      <w:r>
        <w:rPr>
          <w:rFonts w:ascii="Open Sans" w:hAnsi="Open Sans" w:cs="Open Sans"/>
          <w:b/>
          <w:i w:val="0"/>
          <w:color w:val="404040"/>
          <w:sz w:val="20"/>
        </w:rPr>
        <w:t xml:space="preserve">Banco Central (eje completo). </w:t>
      </w:r>
      <w:r>
        <w:rPr>
          <w:rFonts w:ascii="Open Sans" w:hAnsi="Open Sans" w:cs="Open Sans"/>
          <w:b w:val="0"/>
          <w:i w:val="0"/>
          <w:color w:val="404040"/>
          <w:sz w:val="20"/>
        </w:rPr>
        <w:t>Financiamiento al Tesoro, Letras intransferibles, Designación del Presidente y Respeto de la Carta Orgánica (art. 20, Ley 24.144), con la recaudación tomada automáticamente de la API de Series de Tiempo.</w:t>
      </w:r>
    </w:p>
    <w:p>
      <w:pPr>
        <w:spacing w:after="100" w:before="0" w:line="276" w:lineRule="auto"/>
      </w:pPr>
      <w:r>
        <w:rPr>
          <w:rFonts w:ascii="Open Sans" w:hAnsi="Open Sans" w:cs="Open Sans"/>
          <w:b/>
          <w:i w:val="0"/>
          <w:color w:val="404040"/>
          <w:sz w:val="20"/>
        </w:rPr>
        <w:t xml:space="preserve">Acceso de la prensa. </w:t>
      </w:r>
      <w:r>
        <w:rPr>
          <w:rFonts w:ascii="Open Sans" w:hAnsi="Open Sans" w:cs="Open Sans"/>
          <w:b w:val="0"/>
          <w:i w:val="0"/>
          <w:color w:val="404040"/>
          <w:sz w:val="20"/>
        </w:rPr>
        <w:t>Categoría oficial de FOPEA (restricciones de acceso a la información pública) + tabla mantenida de acreditaciones/sala de Casa Rosada. Incorpora ARRASTRE asimétrico (3 meses) para que los eventos puntuales no se evaporen al mes siguiente.</w:t>
      </w:r>
    </w:p>
    <w:p>
      <w:pPr>
        <w:spacing w:after="100" w:before="0" w:line="276" w:lineRule="auto"/>
      </w:pPr>
      <w:r>
        <w:rPr>
          <w:rFonts w:ascii="Open Sans" w:hAnsi="Open Sans" w:cs="Open Sans"/>
          <w:b/>
          <w:i w:val="0"/>
          <w:color w:val="404040"/>
          <w:sz w:val="20"/>
        </w:rPr>
        <w:t xml:space="preserve">Otras variables. </w:t>
      </w:r>
      <w:r>
        <w:rPr>
          <w:rFonts w:ascii="Open Sans" w:hAnsi="Open Sans" w:cs="Open Sans"/>
          <w:b w:val="0"/>
          <w:i w:val="0"/>
          <w:color w:val="404040"/>
          <w:sz w:val="20"/>
        </w:rPr>
        <w:t>ATN (federalismo); Medios estatales; Cobertura judicial con titularidad/subrogancia; Corte con celeridad + competencia originaria + vacantes.</w:t>
      </w:r>
    </w:p>
    <w:p>
      <w:pPr>
        <w:spacing w:after="100" w:before="0" w:line="276" w:lineRule="auto"/>
      </w:pPr>
      <w:r>
        <w:rPr>
          <w:rFonts w:ascii="Open Sans" w:hAnsi="Open Sans" w:cs="Open Sans"/>
          <w:b/>
          <w:i w:val="0"/>
          <w:color w:val="404040"/>
          <w:sz w:val="20"/>
        </w:rPr>
        <w:t xml:space="preserve">Núcleo histórico. </w:t>
      </w:r>
      <w:r>
        <w:rPr>
          <w:rFonts w:ascii="Open Sans" w:hAnsi="Open Sans" w:cs="Open Sans"/>
          <w:b w:val="0"/>
          <w:i w:val="0"/>
          <w:color w:val="404040"/>
          <w:sz w:val="20"/>
        </w:rPr>
        <w:t>Serie comparable de largo plazo, anual y MENSUAL (2020 → último mes), como serie de fondo del índice.</w:t>
      </w:r>
    </w:p>
    <w:p>
      <w:pPr>
        <w:spacing w:after="100" w:before="0" w:line="276" w:lineRule="auto"/>
      </w:pPr>
      <w:r>
        <w:rPr>
          <w:rFonts w:ascii="Open Sans" w:hAnsi="Open Sans" w:cs="Open Sans"/>
          <w:b/>
          <w:i w:val="0"/>
          <w:color w:val="404040"/>
          <w:sz w:val="20"/>
        </w:rPr>
        <w:t xml:space="preserve">Reportes. </w:t>
      </w:r>
      <w:r>
        <w:rPr>
          <w:rFonts w:ascii="Open Sans" w:hAnsi="Open Sans" w:cs="Open Sans"/>
          <w:b w:val="0"/>
          <w:i w:val="0"/>
          <w:color w:val="404040"/>
          <w:sz w:val="20"/>
        </w:rPr>
        <w:t>Rehechos sobre el Modelo documento LyP (Open Sans, membrete): mensual (consolidado + 5 ejes + variación del mes) e histórico (núcleo mensual con fondo por gestión). Nota metodológica exhaustiva y LÉAME actualizado.</w:t>
      </w:r>
    </w:p>
    <w:p>
      <w:pPr>
        <w:spacing w:after="100" w:before="0" w:line="276" w:lineRule="auto"/>
      </w:pPr>
      <w:r>
        <w:rPr>
          <w:rFonts w:ascii="Open Sans" w:hAnsi="Open Sans" w:cs="Open Sans"/>
          <w:b/>
          <w:i w:val="0"/>
          <w:color w:val="404040"/>
          <w:sz w:val="20"/>
        </w:rPr>
        <w:t xml:space="preserve">Preparación para el deploy. </w:t>
      </w:r>
      <w:r>
        <w:rPr>
          <w:rFonts w:ascii="Open Sans" w:hAnsi="Open Sans" w:cs="Open Sans"/>
          <w:b w:val="0"/>
          <w:i w:val="0"/>
          <w:color w:val="404040"/>
          <w:sz w:val="20"/>
        </w:rPr>
        <w:t>variables.yaml (FUENTE ÚNICA DE VERDAD) con el ensamblador refactorizado para leerlo (regresión verificada idéntica); contracts.yaml + validar.py (QA con frescura); AGENTS.md.</w:t>
      </w:r>
    </w:p>
    <w:p>
      <w:pPr>
        <w:spacing w:after="120" w:before="240" w:line="276" w:lineRule="auto"/>
      </w:pPr>
      <w:r>
        <w:rPr>
          <w:rFonts w:ascii="Open Sans" w:hAnsi="Open Sans" w:cs="Open Sans"/>
          <w:b/>
          <w:i w:val="0"/>
          <w:color w:val="FF0000"/>
          <w:sz w:val="26"/>
        </w:rPr>
        <w:t>B. Hoja de ruta — estado</w:t>
      </w:r>
    </w:p>
    <w:p>
      <w:pPr>
        <w:spacing w:after="100" w:before="0" w:line="276" w:lineRule="auto"/>
      </w:pPr>
      <w:r>
        <w:rPr>
          <w:rFonts w:ascii="Open Sans" w:hAnsi="Open Sans" w:cs="Open Sans"/>
          <w:b/>
          <w:i w:val="0"/>
          <w:color w:val="404040"/>
          <w:sz w:val="20"/>
        </w:rPr>
        <w:t xml:space="preserve">Hecho: </w:t>
      </w:r>
      <w:r>
        <w:rPr>
          <w:rFonts w:ascii="Open Sans" w:hAnsi="Open Sans" w:cs="Open Sans"/>
          <w:b w:val="0"/>
          <w:i w:val="0"/>
          <w:color w:val="404040"/>
          <w:sz w:val="20"/>
        </w:rPr>
        <w:t>Transparencia v2, Causas FOPEA, Costo del Legislativo, Corte enriquecida, Calidad normativa, Banco Central, ATN, Medios estatales, Cobertura con subrogancia, gráfico 5 ejes estándar, núcleo histórico (anual y mensual), codebook, variables.yaml + contracts + AGENTS.md, gate de validación.</w:t>
      </w:r>
    </w:p>
    <w:p>
      <w:pPr>
        <w:spacing w:after="100" w:before="0" w:line="276" w:lineRule="auto"/>
      </w:pPr>
      <w:r>
        <w:rPr>
          <w:rFonts w:ascii="Open Sans" w:hAnsi="Open Sans" w:cs="Open Sans"/>
          <w:b/>
          <w:i w:val="0"/>
          <w:color w:val="404040"/>
          <w:sz w:val="20"/>
        </w:rPr>
        <w:t xml:space="preserve">Pendiente: </w:t>
      </w:r>
      <w:r>
        <w:rPr>
          <w:rFonts w:ascii="Open Sans" w:hAnsi="Open Sans" w:cs="Open Sans"/>
          <w:b w:val="0"/>
          <w:i w:val="0"/>
          <w:color w:val="404040"/>
          <w:sz w:val="20"/>
        </w:rPr>
        <w:t>AGN — control externo (navegador headless); Consejo de la Magistratura en Cobertura; pilotos de redes sociales (responsividad) y OGP; fuentes de mayor cadencia; despliegue cloud (GitHub Actions + IP argentina); ATN histórico (dataset Transferencias a Provincias) y Judicial histórico (parqueados); Radar de eventos institucionales (documentado, pendiente el prototipo).</w:t>
      </w:r>
    </w:p>
    <w:p>
      <w:pPr>
        <w:spacing w:after="100" w:before="0" w:line="276" w:lineRule="auto"/>
      </w:pPr>
      <w:r>
        <w:rPr>
          <w:rFonts w:ascii="Open Sans" w:hAnsi="Open Sans" w:cs="Open Sans"/>
          <w:b/>
          <w:i w:val="0"/>
          <w:color w:val="404040"/>
          <w:sz w:val="20"/>
        </w:rPr>
        <w:t xml:space="preserve">Superado / descartado (no son pendientes): </w:t>
      </w:r>
      <w:r>
        <w:rPr>
          <w:rFonts w:ascii="Open Sans" w:hAnsi="Open Sans" w:cs="Open Sans"/>
          <w:b w:val="0"/>
          <w:i w:val="0"/>
          <w:color w:val="404040"/>
          <w:sz w:val="20"/>
        </w:rPr>
        <w:t>La tabla de pesos vieja (35/25/25/15 con AGN e Integridad) → reemplazada por 30/20/20/15/15 + Banco Central; Integridad pública descartada; AGN no incorporada. Pauta por concentración (HHI) descartada por ideológica. Normalización por percentiles reemplazada a propósito por el anclaje al ideal absoluto.</w:t>
      </w:r>
    </w:p>
    <w:p>
      <w:pPr>
        <w:spacing w:after="120" w:before="240" w:line="276" w:lineRule="auto"/>
      </w:pPr>
      <w:r>
        <w:rPr>
          <w:rFonts w:ascii="Open Sans" w:hAnsi="Open Sans" w:cs="Open Sans"/>
          <w:b/>
          <w:i w:val="0"/>
          <w:color w:val="FF0000"/>
          <w:sz w:val="26"/>
        </w:rPr>
        <w:t>C. Decisiones firmes (junio 2026)</w:t>
      </w:r>
    </w:p>
    <w:p>
      <w:pPr>
        <w:spacing w:after="120" w:before="0" w:line="276" w:lineRule="auto"/>
      </w:pPr>
      <w:r>
        <w:rPr>
          <w:rFonts w:ascii="Open Sans" w:hAnsi="Open Sans" w:cs="Open Sans"/>
          <w:b w:val="0"/>
          <w:i w:val="0"/>
          <w:color w:val="404040"/>
          <w:sz w:val="20"/>
        </w:rPr>
        <w:t>• Vigía y OpenArg NO se usan como fuente del valor publicado (no exponen API JSON anónima; verificado).</w:t>
      </w:r>
    </w:p>
    <w:p>
      <w:pPr>
        <w:spacing w:after="120" w:before="0" w:line="276" w:lineRule="auto"/>
      </w:pPr>
      <w:r>
        <w:rPr>
          <w:rFonts w:ascii="Open Sans" w:hAnsi="Open Sans" w:cs="Open Sans"/>
          <w:b w:val="0"/>
          <w:i w:val="0"/>
          <w:color w:val="404040"/>
          <w:sz w:val="20"/>
        </w:rPr>
        <w:t>• Sin self-host; todo debe ser cloud-activable. La incógnita abierta del deploy es el egress con IP argentina.</w:t>
      </w:r>
    </w:p>
    <w:p>
      <w:pPr>
        <w:spacing w:after="120" w:before="0" w:line="276" w:lineRule="auto"/>
      </w:pPr>
      <w:r>
        <w:rPr>
          <w:rFonts w:ascii="Open Sans" w:hAnsi="Open Sans" w:cs="Open Sans"/>
          <w:b w:val="0"/>
          <w:i w:val="0"/>
          <w:color w:val="404040"/>
          <w:sz w:val="20"/>
        </w:rPr>
        <w:t>• Validación = NOTIFICAR, no bloquear: validar.py avisa (exit 2 + reporte de alertas) pero la publicación no se frena; el equipo evalúa.</w:t>
      </w:r>
    </w:p>
    <w:p>
      <w:pPr>
        <w:spacing w:after="120" w:before="0" w:line="276" w:lineRule="auto"/>
      </w:pPr>
      <w:r>
        <w:rPr>
          <w:rFonts w:ascii="Open Sans" w:hAnsi="Open Sans" w:cs="Open Sans"/>
          <w:b w:val="0"/>
          <w:i w:val="0"/>
          <w:color w:val="404040"/>
          <w:sz w:val="20"/>
        </w:rPr>
        <w:t>• Arrastre asimétrico (3 meses) para eventos puntuales, solo en Prensa; el Ejecutivo nunca arrastra.</w:t>
      </w:r>
    </w:p>
    <w:p>
      <w:pPr>
        <w:spacing w:after="120" w:before="240" w:line="276" w:lineRule="auto"/>
      </w:pPr>
      <w:r>
        <w:rPr>
          <w:rFonts w:ascii="Open Sans" w:hAnsi="Open Sans" w:cs="Open Sans"/>
          <w:b/>
          <w:i w:val="0"/>
          <w:color w:val="FF0000"/>
          <w:sz w:val="26"/>
        </w:rPr>
        <w:t>D. Próximos pendientes priorizados</w:t>
      </w:r>
    </w:p>
    <w:p>
      <w:pPr>
        <w:spacing w:after="120" w:before="0" w:line="276" w:lineRule="auto"/>
      </w:pPr>
      <w:r>
        <w:rPr>
          <w:rFonts w:ascii="Open Sans" w:hAnsi="Open Sans" w:cs="Open Sans"/>
          <w:b w:val="0"/>
          <w:i w:val="0"/>
          <w:color w:val="404040"/>
          <w:sz w:val="20"/>
        </w:rPr>
        <w:t>1) Despliegue cloud + solución de IP argentina. 2) AGN (control externo). 3) Fuentes de mayor cadencia + indicador de frescura publicado. 4) Pilotos (redes / OGP). 5) Prototipo del Radar de eventos. 6) Histórico hacia Macri (requiere ATN y Judicial históricos; parqueado).</w:t>
      </w:r>
    </w:p>
    <w:p>
      <w:pPr>
        <w:spacing w:after="120" w:before="240" w:line="276" w:lineRule="auto"/>
      </w:pPr>
      <w:r>
        <w:rPr>
          <w:rFonts w:ascii="Open Sans" w:hAnsi="Open Sans" w:cs="Open Sans"/>
          <w:b/>
          <w:i w:val="0"/>
          <w:color w:val="FF0000"/>
          <w:sz w:val="26"/>
        </w:rPr>
        <w:t xml:space="preserve">E. Padrón judicial vivo y designaciones por BORA (junio 2026)</w:t>
      </w:r>
    </w:p>
    <w:p>
      <w:pPr>
        <w:spacing w:after="120" w:before="0" w:line="276" w:lineRule="auto"/>
      </w:pPr>
      <w:r>
        <w:rPr>
          <w:rFonts w:ascii="Open Sans" w:hAnsi="Open Sans" w:cs="Open Sans"/>
          <w:b/>
          <w:i w:val="0"/>
          <w:color w:val="404040"/>
          <w:sz w:val="20"/>
        </w:rPr>
        <w:t xml:space="preserve">Problema (dataset oficial lento): </w:t>
      </w:r>
      <w:r>
        <w:rPr>
          <w:rFonts w:ascii="Open Sans" w:hAnsi="Open Sans" w:cs="Open Sans"/>
          <w:b w:val="0"/>
          <w:i w:val="0"/>
          <w:color w:val="404040"/>
          <w:sz w:val="20"/>
        </w:rPr>
        <w:t xml:space="preserve">el dataset de magistrados se actualiza aproximadamente cada dos años, por lo que las 46 designaciones de jueces titulares del 24-25/06/2026 (decretos 492 a 545, con acuerdo del Senado) todavía no se reflejan en la titularidad ni la subrogancia del stock, aunque en los hechos cubren esas subrogancias y juzgados vacantes. El radar ya adelanta el FLUJO (meses sin nombramiento), pero no el STOCK por cargo.</w:t>
      </w:r>
    </w:p>
    <w:p>
      <w:pPr>
        <w:spacing w:after="120" w:before="0" w:line="276" w:lineRule="auto"/>
      </w:pPr>
      <w:r>
        <w:rPr>
          <w:rFonts w:ascii="Open Sans" w:hAnsi="Open Sans" w:cs="Open Sans"/>
          <w:b/>
          <w:i w:val="0"/>
          <w:color w:val="404040"/>
          <w:sz w:val="20"/>
        </w:rPr>
        <w:t xml:space="preserve">Propuesta — padrón judicial vivo: </w:t>
      </w:r>
      <w:r>
        <w:rPr>
          <w:rFonts w:ascii="Open Sans" w:hAnsi="Open Sans" w:cs="Open Sans"/>
          <w:b w:val="0"/>
          <w:i w:val="0"/>
          <w:color w:val="404040"/>
          <w:sz w:val="20"/>
        </w:rPr>
        <w:t xml:space="preserve">conservar el último dataset oficial descargado como base (estado a fecha T0) y que el bot cargue automáticamente las nuevas titularidades en el cargo que corresponda, parseando del decreto el juzgado/tribunal y, si figura, el concurso, y marcando ese cargo como Titular (bajando subrogancia o sin-cobertura). El dataset oficial sigue siendo el ancla auditable; el padrón vivo es una capa provisional que se reconcilia y reinicia con cada snapshot nuevo.</w:t>
      </w:r>
    </w:p>
    <w:p>
      <w:pPr>
        <w:spacing w:after="120" w:before="0" w:line="276" w:lineRule="auto"/>
      </w:pPr>
      <w:r>
        <w:rPr>
          <w:rFonts w:ascii="Open Sans" w:hAnsi="Open Sans" w:cs="Open Sans"/>
          <w:b/>
          <w:i w:val="0"/>
          <w:color w:val="404040"/>
          <w:sz w:val="20"/>
        </w:rPr>
        <w:t xml:space="preserve">Hueco (a) — renuncias y defunciones de jueces en funciones: </w:t>
      </w:r>
      <w:r>
        <w:rPr>
          <w:rFonts w:ascii="Open Sans" w:hAnsi="Open Sans" w:cs="Open Sans"/>
          <w:b w:val="0"/>
          <w:i w:val="0"/>
          <w:color w:val="404040"/>
          <w:sz w:val="20"/>
        </w:rPr>
        <w:t xml:space="preserve">estos decretos existen y son frecuentes en el BORA (verificado el 25/06/2026). Ejemplos reales: «JUSTICIA Decreto 529/2025 - Acéptase renuncia.» y «JUSTICIA Decreto 530/2025 - Acéptase renuncia.» (edición del 4/8/2025), cuyo cuerpo dice «Acéptase, a partir del 1° de octubre de 2025, la renuncia presentada por la doctora Graciela Beatriz PEREIRA … al cargo de JUEZA …»; también los decretos 467/2025, 537/2025, 813/2025 y 815/2025. Solución: un detector de BAJAS simétrico al de altas que libere el cargo; quedan cubiertas renuncias, ceses, jubilaciones o límite de edad y remociones. Límite honesto: una defunción puede no tener decreto inmediato en el BORA; ese caso queda con error acotado hasta la reconciliación con el dataset oficial, o se cruza con el Consejo de la Magistratura y las acordadas de la CSJN.</w:t>
      </w:r>
    </w:p>
    <w:p>
      <w:pPr>
        <w:spacing w:after="120" w:before="0" w:line="276" w:lineRule="auto"/>
      </w:pPr>
      <w:r>
        <w:rPr>
          <w:rFonts w:ascii="Open Sans" w:hAnsi="Open Sans" w:cs="Open Sans"/>
          <w:b/>
          <w:i w:val="0"/>
          <w:color w:val="404040"/>
          <w:sz w:val="20"/>
        </w:rPr>
        <w:t xml:space="preserve">Hueco (b) — concurso abierto y cerrado en muy corto plazo: </w:t>
      </w:r>
      <w:r>
        <w:rPr>
          <w:rFonts w:ascii="Open Sans" w:hAnsi="Open Sans" w:cs="Open Sans"/>
          <w:b w:val="0"/>
          <w:i w:val="0"/>
          <w:color w:val="404040"/>
          <w:sz w:val="20"/>
        </w:rPr>
        <w:t xml:space="preserve">para la TITULARIDAD no importa, porque el hecho autoritativo es el decreto de designación, no el calendario del concurso. El timing del concurso solo afecta la subvariable de diligencia (concursos en trámite sobre vacantes); allí la señal del BORA es la publicación de ternas (como la del 18/06/2026), que se detecta por separado.</w:t>
      </w:r>
    </w:p>
    <w:p>
      <w:pPr>
        <w:spacing w:after="120" w:before="0" w:line="276" w:lineRule="auto"/>
      </w:pPr>
      <w:r>
        <w:rPr>
          <w:rFonts w:ascii="Open Sans" w:hAnsi="Open Sans" w:cs="Open Sans"/>
          <w:b/>
          <w:i w:val="0"/>
          <w:color w:val="404040"/>
          <w:sz w:val="20"/>
        </w:rPr>
        <w:t xml:space="preserve">Gobernanza: </w:t>
      </w:r>
      <w:r>
        <w:rPr>
          <w:rFonts w:ascii="Open Sans" w:hAnsi="Open Sans" w:cs="Open Sans"/>
          <w:b w:val="0"/>
          <w:i w:val="0"/>
          <w:color w:val="404040"/>
          <w:sz w:val="20"/>
        </w:rPr>
        <w:t xml:space="preserve">el padrón vivo debe ser determinístico y auditable (parseo por reglas del decreto al cargo, sin IA en el valor publicado), con los cargos ajustados marcados como «estimado/provisional» hasta la reconciliación con el dato oficial. Los decretos que no se puedan mapear a un cargo concreto van a una cola de revisión humana.</w:t>
      </w:r>
    </w:p>
    <w:p>
      <w:pPr>
        <w:spacing w:after="120" w:before="0" w:line="276" w:lineRule="auto"/>
      </w:pPr>
      <w:r>
        <w:rPr>
          <w:rFonts w:ascii="Open Sans" w:hAnsi="Open Sans" w:cs="Open Sans"/>
          <w:b/>
          <w:i w:val="0"/>
          <w:color w:val="404040"/>
          <w:sz w:val="20"/>
        </w:rPr>
        <w:t xml:space="preserve">Designación del Presidente del BCRA (mismo mecanismo): </w:t>
      </w:r>
      <w:r>
        <w:rPr>
          <w:rFonts w:ascii="Open Sans" w:hAnsi="Open Sans" w:cs="Open Sans"/>
          <w:b w:val="0"/>
          <w:i w:val="0"/>
          <w:color w:val="404040"/>
          <w:sz w:val="20"/>
        </w:rPr>
        <w:t xml:space="preserve">el nombramiento del Presidente (y del directorio) del Banco Central se hace por decreto del PEN con acuerdo del Senado (Carta Orgánica, Ley 24.144) y tiene una ficha del BORA análoga a la de los jueces. Propuesta: un detector hermano del radar que vigile en el BORA el decreto de designación del Presidente del BCRA y alimente la variable «Designación Pdte. BCRA». En esta muestra de junio 2026 aún no hubo nombramiento del Presidente del BCRA, por lo que esa variable quedó sin dato del mes (17 de 18 variables).</w:t>
      </w:r>
    </w:p>
    <w:p>
      <w:pPr>
        <w:spacing w:after="120" w:before="160" w:line="276" w:lineRule="auto"/>
      </w:pPr>
      <w:r>
        <w:rPr>
          <w:rFonts w:ascii="Open Sans" w:hAnsi="Open Sans" w:cs="Open Sans"/>
          <w:b/>
          <w:i w:val="0"/>
          <w:color w:val="404040"/>
          <w:sz w:val="20"/>
        </w:rPr>
        <w:t xml:space="preserve">Estructura en el BORA (cómo adaptarlo) y actualización en vivo del padrón:</w:t>
      </w:r>
    </w:p>
    <w:p>
      <w:pPr>
        <w:spacing w:after="60" w:before="0" w:line="276" w:lineRule="auto"/>
      </w:pPr>
      <w:r>
        <w:rPr>
          <w:rFonts w:ascii="Open Sans" w:hAnsi="Open Sans" w:cs="Open Sans"/>
          <w:b w:val="0"/>
          <w:i w:val="0"/>
          <w:color w:val="404040"/>
          <w:sz w:val="20"/>
        </w:rPr>
        <w:t xml:space="preserve">• Listado por fecha: /seccion/primera/AAAAMMDD (HTML del servidor, sin JS). Cada norma enlaza a /detalleAviso/primera/&lt;id&gt;/AAAAMMDD; la fecha de publicación está en la propia URL.</w:t>
      </w:r>
    </w:p>
    <w:p>
      <w:pPr>
        <w:spacing w:after="60" w:before="0" w:line="276" w:lineRule="auto"/>
      </w:pPr>
      <w:r>
        <w:rPr>
          <w:rFonts w:ascii="Open Sans" w:hAnsi="Open Sans" w:cs="Open Sans"/>
          <w:b w:val="0"/>
          <w:i w:val="0"/>
          <w:color w:val="404040"/>
          <w:sz w:val="20"/>
        </w:rPr>
        <w:t xml:space="preserve">• Título del enlace = «ASUNTO Tipo Número Código - Acción». Altas → «JUSTICIA Decreto 545/2026 DECTO-2026-545-APN-PTE - Nombramiento.»; bajas → «JUSTICIA Decreto 530/2025 DECTO-2025-530-APN-PTE - Acéptase renuncia.». El título NO trae el nombre del juez ni el juzgado.</w:t>
      </w:r>
    </w:p>
    <w:p>
      <w:pPr>
        <w:spacing w:after="60" w:before="0" w:line="276" w:lineRule="auto"/>
      </w:pPr>
      <w:r>
        <w:rPr>
          <w:rFonts w:ascii="Open Sans" w:hAnsi="Open Sans" w:cs="Open Sans"/>
          <w:b w:val="0"/>
          <w:i w:val="0"/>
          <w:color w:val="404040"/>
          <w:sz w:val="20"/>
        </w:rPr>
        <w:t xml:space="preserve">• Cuerpo de la ficha (entre «Ver texto del aviso» y «Compartir por email»): ahí está el dato. Alta → «VISTO el acuerdo prestado por el H. SENADO… Nómbrase JUEZ DEL JUZGADO … N° X». Baja → «Acéptase … la renuncia … al cargo de JUEZ/A DEL JUZGADO … N° X».</w:t>
      </w:r>
    </w:p>
    <w:p>
      <w:pPr>
        <w:spacing w:after="60" w:before="0" w:line="276" w:lineRule="auto"/>
      </w:pPr>
      <w:r>
        <w:rPr>
          <w:rFonts w:ascii="Open Sans" w:hAnsi="Open Sans" w:cs="Open Sans"/>
          <w:b w:val="0"/>
          <w:i w:val="0"/>
          <w:color w:val="404040"/>
          <w:sz w:val="20"/>
        </w:rPr>
        <w:t xml:space="preserve">• Detección por reglas (sin IA): candidata = norma de Justicia / Nombramiento / Renuncia, y se decide leyendo el CUERPO. Alta de titular = decreto + «nómbrase/desígnase» + «juez» + «acuerdo del Senado». Baja = decreto + «acéptase la renuncia / cese / remoción / límite de edad» + «juez».</w:t>
      </w:r>
    </w:p>
    <w:p>
      <w:pPr>
        <w:spacing w:after="60" w:before="0" w:line="276" w:lineRule="auto"/>
      </w:pPr>
      <w:r>
        <w:rPr>
          <w:rFonts w:ascii="Open Sans" w:hAnsi="Open Sans" w:cs="Open Sans"/>
          <w:b w:val="0"/>
          <w:i w:val="0"/>
          <w:color w:val="404040"/>
          <w:sz w:val="20"/>
        </w:rPr>
        <w:t xml:space="preserve">• Padrón vivo (la base es el dataset viejo): del cuerpo se extrae el juzgado/tribunal (y el concurso si figura) y se mapea al cargo del dataset oficial descargado. El propio bot aplica las actualizaciones EN VIVO sobre ese dataset: alta → marcar Titular (y bajar subrogancia/sin-cobertura del cargo); baja → marcar Vacante. Cada vez que sale un snapshot oficial nuevo, se reconcilia y el padrón se reinicia desde el dato duro.</w:t>
      </w:r>
    </w:p>
    <w:p>
      <w:pPr>
        <w:spacing w:after="120" w:before="240" w:line="276" w:lineRule="auto"/>
      </w:pPr>
      <w:r>
        <w:rPr>
          <w:rFonts w:ascii="Open Sans" w:hAnsi="Open Sans" w:cs="Open Sans"/>
          <w:b/>
          <w:i w:val="0"/>
          <w:color w:val="FF0000"/>
          <w:sz w:val="26"/>
        </w:rPr>
        <w:t xml:space="preserve">F. mcp-legal-ar y usos futuros de fuentes jurídicas</w:t>
      </w:r>
    </w:p>
    <w:p>
      <w:pPr>
        <w:spacing w:after="120" w:before="0" w:line="276" w:lineRule="auto"/>
      </w:pPr>
      <w:r>
        <w:rPr>
          <w:rFonts w:ascii="Open Sans" w:hAnsi="Open Sans" w:cs="Open Sans"/>
          <w:b/>
          <w:i w:val="0"/>
          <w:color w:val="404040"/>
          <w:sz w:val="20"/>
        </w:rPr>
        <w:t xml:space="preserve">Qué es: </w:t>
      </w:r>
      <w:r>
        <w:rPr>
          <w:rFonts w:ascii="Open Sans" w:hAnsi="Open Sans" w:cs="Open Sans"/>
          <w:b w:val="0"/>
          <w:i w:val="0"/>
          <w:color w:val="404040"/>
          <w:sz w:val="20"/>
        </w:rPr>
        <w:t xml:space="preserve">hub MCP (Probanza-ar) para Claude Desktop que unifica 11 fuentes jurídicas argentinas (BORA, InfoLEG, SAIJ, JUBA, SCBA, PJN jurisprudencia/consulta, PTN, TFN, BOPBA, Normativa PBA), solo lectura y local. NO alimenta el valor publicado del MIA (regla no-IA: el índice sale de scrapers determinísticos); sirve como capa de EXPLORACIÓN/verificación.</w:t>
      </w:r>
    </w:p>
    <w:p>
      <w:pPr>
        <w:spacing w:after="120" w:before="0" w:line="276" w:lineRule="auto"/>
      </w:pPr>
      <w:r>
        <w:rPr>
          <w:rFonts w:ascii="Open Sans" w:hAnsi="Open Sans" w:cs="Open Sans"/>
          <w:b/>
          <w:i w:val="0"/>
          <w:color w:val="404040"/>
          <w:sz w:val="20"/>
        </w:rPr>
        <w:t xml:space="preserve">QA / verificación mensual (a evaluar): </w:t>
      </w:r>
      <w:r>
        <w:rPr>
          <w:rFonts w:ascii="Open Sans" w:hAnsi="Open Sans" w:cs="Open Sans"/>
          <w:b w:val="0"/>
          <w:i w:val="0"/>
          <w:color w:val="404040"/>
          <w:sz w:val="20"/>
        </w:rPr>
        <w:t xml:space="preserve">antes de publicar, chequear a mano un decreto/norma/expediente que marque un radar, o verificar anomalías del mes (p. ej. confirmar en InfoLEG el estado de una norma, o un fallo).</w:t>
      </w:r>
    </w:p>
    <w:p>
      <w:pPr>
        <w:spacing w:after="120" w:before="0" w:line="276" w:lineRule="auto"/>
      </w:pPr>
      <w:r>
        <w:rPr>
          <w:rFonts w:ascii="Open Sans" w:hAnsi="Open Sans" w:cs="Open Sans"/>
          <w:b/>
          <w:i w:val="0"/>
          <w:color w:val="404040"/>
          <w:sz w:val="20"/>
        </w:rPr>
        <w:t xml:space="preserve">Investigación de fuentes (dos frentes): </w:t>
      </w:r>
      <w:r>
        <w:rPr>
          <w:rFonts w:ascii="Open Sans" w:hAnsi="Open Sans" w:cs="Open Sans"/>
          <w:b w:val="0"/>
          <w:i w:val="0"/>
          <w:color w:val="404040"/>
          <w:sz w:val="20"/>
        </w:rPr>
        <w:t xml:space="preserve">(a) evaluar ESTIRAR EL HISTÓRICO a pre-2017 en variables que hoy arrancan tarde (BORA desde 1938; InfoLEG y SAIJ tienen profundidad); (b) que el bot APRENDA de reclasificaciones / cambios de etiqueta de las fuentes (como el cambio de etiqueta del ATN) para anticipar cambios de esquema futuros.</w:t>
      </w:r>
    </w:p>
    <w:p>
      <w:pPr>
        <w:spacing w:after="120" w:before="0" w:line="276" w:lineRule="auto"/>
      </w:pPr>
      <w:r>
        <w:rPr>
          <w:rFonts w:ascii="Open Sans" w:hAnsi="Open Sans" w:cs="Open Sans"/>
          <w:b/>
          <w:i w:val="0"/>
          <w:color w:val="404040"/>
          <w:sz w:val="20"/>
        </w:rPr>
        <w:t xml:space="preserve">Radar de eventos institucionales (parqueado): </w:t>
      </w:r>
      <w:r>
        <w:rPr>
          <w:rFonts w:ascii="Open Sans" w:hAnsi="Open Sans" w:cs="Open Sans"/>
          <w:b w:val="0"/>
          <w:i w:val="0"/>
          <w:color w:val="404040"/>
          <w:sz w:val="20"/>
        </w:rPr>
        <w:t xml:space="preserve">el radar DETECTA y emite una ALERTA COMPUESTA que explica el hecho y en qué variable aplicaría; NUNCA aplica solo. El operador humano decide si entra, con qué ponderación y cuánto efecto. Feeds posibles: BORA/SAIJ/PJN.</w:t>
      </w:r>
    </w:p>
    <w:p>
      <w:pPr>
        <w:spacing w:after="120" w:before="160" w:line="276" w:lineRule="auto"/>
      </w:pPr>
      <w:r>
        <w:rPr>
          <w:rFonts w:ascii="Open Sans" w:hAnsi="Open Sans" w:cs="Open Sans"/>
          <w:b/>
          <w:i w:val="0"/>
          <w:color w:val="404040"/>
          <w:sz w:val="20"/>
        </w:rPr>
        <w:t xml:space="preserve">Variable JUDICIAL — alternativas a evaluar (es la más floja del índice):</w:t>
      </w:r>
    </w:p>
    <w:p>
      <w:pPr>
        <w:spacing w:after="60" w:before="0" w:line="276" w:lineRule="auto"/>
      </w:pPr>
      <w:r>
        <w:rPr>
          <w:rFonts w:ascii="Open Sans" w:hAnsi="Open Sans" w:cs="Open Sans"/>
          <w:b w:val="0"/>
          <w:i w:val="0"/>
          <w:color w:val="404040"/>
          <w:sz w:val="20"/>
        </w:rPr>
        <w:t xml:space="preserve">• Duración de subrogancias/vacancias: DESCARTADO. El único campo con cobertura (concurso_ambito_fecha_ingreso, 98%) mide hace cuánto el concurso está abierto SIN resolverse, lo que MEZCLA al Consejo (sustanciar) con el Ejecutivo+Senado (designar). Llenar la vacante no es atributo de calidad del Poder Judicial (depende de negociación política y del Ejecutivo). Sin la fecha de declaración de la vacante no se puede aislar el tiempo que controla el Poder Judicial. No sirve.</w:t>
      </w:r>
    </w:p>
    <w:p>
      <w:pPr>
        <w:spacing w:after="60" w:before="0" w:line="276" w:lineRule="auto"/>
      </w:pPr>
      <w:r>
        <w:rPr>
          <w:rFonts w:ascii="Open Sans" w:hAnsi="Open Sans" w:cs="Open Sans"/>
          <w:b w:val="0"/>
          <w:i w:val="0"/>
          <w:color w:val="404040"/>
          <w:sz w:val="20"/>
        </w:rPr>
        <w:t xml:space="preserve">• Consejo de la Magistratura: INVESTIGADO (jun-2026) → NO VIABLE. El dataset de datos.jus «Selección de magistrados / concursos» trae fecha_publicacion_concurso (apertura) pero NO la fecha de declaración de la vacante, así que no se puede aislar el «tiempo en abrir» (lo único atribuible al Consejo). Además su frecuencia es «Eventual» (mismo dataset lento que magistrados). Falla las dos condiciones → no se construye. Disciplina/sanciones tampoco (ambigua).</w:t>
      </w:r>
    </w:p>
    <w:p>
      <w:pPr>
        <w:spacing w:after="60" w:before="0" w:line="276" w:lineRule="auto"/>
      </w:pPr>
      <w:r>
        <w:rPr>
          <w:rFonts w:ascii="Open Sans" w:hAnsi="Open Sans" w:cs="Open Sans"/>
          <w:b w:val="0"/>
          <w:i w:val="0"/>
          <w:color w:val="404040"/>
          <w:sz w:val="20"/>
        </w:rPr>
        <w:t xml:space="preserve">• Pliegos pendientes en el Senado: DESCARTADO — más político que institucional (atribuye la traba al Senado) y redundante con la duración de vacancia.</w:t>
      </w:r>
    </w:p>
    <w:p>
      <w:pPr>
        <w:spacing w:after="60" w:before="0" w:line="276" w:lineRule="auto"/>
      </w:pPr>
      <w:r>
        <w:rPr>
          <w:rFonts w:ascii="Open Sans" w:hAnsi="Open Sans" w:cs="Open Sans"/>
          <w:b w:val="0"/>
          <w:i w:val="0"/>
          <w:color w:val="404040"/>
          <w:sz w:val="20"/>
        </w:rPr>
        <w:t xml:space="preserve">• Cheques al Ejecutivo (cautelares/fallos contra el Estado): DESCARTADO como valor — terreno ambiguo: en un proceso de reforma una cautelar contra el Estado puede defender un interés sectorial y no proteger un derecho; separar interés genuino de partidario no es objetivable.</w:t>
      </w:r>
    </w:p>
    <w:p>
      <w:pPr>
        <w:spacing w:after="60" w:before="0" w:line="276" w:lineRule="auto"/>
      </w:pPr>
      <w:r>
        <w:rPr>
          <w:rFonts w:ascii="Open Sans" w:hAnsi="Open Sans" w:cs="Open Sans"/>
          <w:b w:val="0"/>
          <w:i w:val="0"/>
          <w:color w:val="404040"/>
          <w:sz w:val="20"/>
        </w:rPr>
        <w:t xml:space="preserve">• Transparencia judicial (publicación de sentencias / datos abiertos). Determinístico MEDIO.</w:t>
      </w:r>
    </w:p>
    <w:p>
      <w:pPr>
        <w:spacing w:after="120" w:before="160" w:line="276" w:lineRule="auto"/>
      </w:pPr>
      <w:r>
        <w:rPr>
          <w:rFonts w:ascii="Open Sans" w:hAnsi="Open Sans" w:cs="Open Sans"/>
          <w:b/>
          <w:i w:val="0"/>
          <w:color w:val="404040"/>
          <w:sz w:val="20"/>
        </w:rPr>
        <w:t xml:space="preserve">Conclusión (jun-2026): </w:t>
      </w:r>
      <w:r>
        <w:rPr>
          <w:rFonts w:ascii="Open Sans" w:hAnsi="Open Sans" w:cs="Open Sans"/>
          <w:b w:val="0"/>
          <w:i w:val="0"/>
          <w:color w:val="404040"/>
          <w:sz w:val="20"/>
        </w:rPr>
        <w:t xml:space="preserve">bajo el criterio de contar SOLO lo que controla el Poder Judicial, hoy no hay dato duro que refuerce la variable. El eje Judicial queda COMO ESTÁ (Desempeño de la Corte + Cobertura Judicial, que mide el ESTADO de independencia, válido aunque la causa del retraso sea del Ejecutivo). Es la pata más floja del índice, pero no se le agregan métricas que confundan responsabilidades ni que dependan de datasets poco confiables. Revisitar SOLO si el Consejo publica la fecha de declaración de la vacante de forma periódica, o si mejora la estadística de la CSJN. Transparencia judicial queda como única opción no cerrada, a explorar.</w:t>
      </w:r>
    </w:p>
    <w:p>
      <w:pPr>
        <w:spacing w:after="120" w:before="160" w:line="276" w:lineRule="auto"/>
      </w:pPr>
      <w:r>
        <w:rPr>
          <w:rFonts w:ascii="Open Sans" w:hAnsi="Open Sans" w:cs="Open Sans"/>
          <w:b w:val="0"/>
          <w:i w:val="0"/>
          <w:color w:val="777777"/>
          <w:sz w:val="16"/>
        </w:rPr>
        <w:t>Nota: este addendum se generó por separado porque el archivo original quedó como cloud-only en la sesión y no pudo editarse en el lugar. Se puede pegar dentro del documento de mejoras o conservar como anexo.</w:t>
      </w:r>
    </w:p>
    <w:sectPr w:rsidR="00A53109">
      <w:headerReference w:type="default" r:id="rId8"/>
      <w:footerReference w:type="default" r:id="rId9"/>
      <w:pgSz w:w="12240" w:h="15840"/>
      <w:pgMar w:top="1440" w:right="1440" w:bottom="1440" w:left="2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E54C" w14:textId="77777777" w:rsidR="00F77CBB" w:rsidRDefault="00F77CBB">
      <w:pPr>
        <w:spacing w:after="0" w:line="240" w:lineRule="auto"/>
      </w:pPr>
      <w:r>
        <w:separator/>
      </w:r>
    </w:p>
  </w:endnote>
  <w:endnote w:type="continuationSeparator" w:id="0">
    <w:p w14:paraId="67B6C11F" w14:textId="77777777" w:rsidR="00F77CBB" w:rsidRDefault="00F77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ontserrat">
    <w:altName w:val="Times New Roma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9CB4" w14:textId="733605CD" w:rsidR="00EB67EE" w:rsidRPr="00FF3475" w:rsidRDefault="009D36B3">
    <w:pPr>
      <w:pBdr>
        <w:top w:val="nil"/>
        <w:left w:val="nil"/>
        <w:bottom w:val="nil"/>
        <w:right w:val="nil"/>
        <w:between w:val="nil"/>
      </w:pBdr>
      <w:tabs>
        <w:tab w:val="center" w:pos="4252"/>
        <w:tab w:val="right" w:pos="8504"/>
      </w:tabs>
      <w:spacing w:after="0" w:line="240" w:lineRule="auto"/>
      <w:rPr>
        <w:rFonts w:ascii="Open Sans" w:hAnsi="Open Sans" w:cs="Open Sans"/>
        <w:b/>
        <w:color w:val="C00000"/>
      </w:rPr>
    </w:pPr>
    <w:r>
      <w:rPr>
        <w:color w:val="000000"/>
      </w:rPr>
      <w:t xml:space="preserve"> </w:t>
    </w:r>
    <w:r>
      <w:rPr>
        <w:b/>
        <w:color w:val="C00000"/>
      </w:rPr>
      <w:tab/>
    </w:r>
    <w:r>
      <w:rPr>
        <w:b/>
        <w:color w:val="C00000"/>
      </w:rPr>
      <w:tab/>
    </w:r>
    <w:r>
      <w:rPr>
        <w:b/>
        <w:color w:val="C00000"/>
      </w:rPr>
      <w:tab/>
    </w:r>
    <w:r w:rsidRPr="00FF3475">
      <w:rPr>
        <w:rFonts w:ascii="Open Sans" w:eastAsia="Montserrat" w:hAnsi="Open Sans" w:cs="Open Sans"/>
        <w:b/>
        <w:color w:val="C00000"/>
      </w:rPr>
      <w:fldChar w:fldCharType="begin"/>
    </w:r>
    <w:r w:rsidRPr="00FF3475">
      <w:rPr>
        <w:rFonts w:ascii="Open Sans" w:eastAsia="Montserrat" w:hAnsi="Open Sans" w:cs="Open Sans"/>
        <w:b/>
        <w:color w:val="C00000"/>
      </w:rPr>
      <w:instrText>PAGE</w:instrText>
    </w:r>
    <w:r w:rsidRPr="00FF3475">
      <w:rPr>
        <w:rFonts w:ascii="Open Sans" w:eastAsia="Montserrat" w:hAnsi="Open Sans" w:cs="Open Sans"/>
        <w:b/>
        <w:color w:val="C00000"/>
      </w:rPr>
      <w:fldChar w:fldCharType="separate"/>
    </w:r>
    <w:r w:rsidR="00396BD4">
      <w:rPr>
        <w:rFonts w:ascii="Open Sans" w:eastAsia="Montserrat" w:hAnsi="Open Sans" w:cs="Open Sans"/>
        <w:b/>
        <w:noProof/>
        <w:color w:val="C00000"/>
      </w:rPr>
      <w:t>7</w:t>
    </w:r>
    <w:r w:rsidRPr="00FF3475">
      <w:rPr>
        <w:rFonts w:ascii="Open Sans" w:eastAsia="Montserrat" w:hAnsi="Open Sans" w:cs="Open Sans"/>
        <w:b/>
        <w:color w:val="C00000"/>
      </w:rPr>
      <w:fldChar w:fldCharType="end"/>
    </w:r>
    <w:r w:rsidRPr="00FF3475">
      <w:rPr>
        <w:rFonts w:ascii="Open Sans" w:hAnsi="Open Sans" w:cs="Open Sans"/>
        <w:noProof/>
        <w:lang w:val="es-419" w:eastAsia="es-419"/>
      </w:rPr>
      <mc:AlternateContent>
        <mc:Choice Requires="wps">
          <w:drawing>
            <wp:anchor distT="0" distB="0" distL="0" distR="0" simplePos="0" relativeHeight="251661312" behindDoc="1" locked="0" layoutInCell="1" hidden="0" allowOverlap="1" wp14:anchorId="0BB5FBC9" wp14:editId="5F88F8F4">
              <wp:simplePos x="0" y="0"/>
              <wp:positionH relativeFrom="column">
                <wp:posOffset>-1876424</wp:posOffset>
              </wp:positionH>
              <wp:positionV relativeFrom="paragraph">
                <wp:posOffset>160020</wp:posOffset>
              </wp:positionV>
              <wp:extent cx="6600825" cy="704850"/>
              <wp:effectExtent l="0" t="0" r="9525" b="0"/>
              <wp:wrapNone/>
              <wp:docPr id="2" name="Rectángulo 2"/>
              <wp:cNvGraphicFramePr/>
              <a:graphic xmlns:a="http://schemas.openxmlformats.org/drawingml/2006/main">
                <a:graphicData uri="http://schemas.microsoft.com/office/word/2010/wordprocessingShape">
                  <wps:wsp>
                    <wps:cNvSpPr/>
                    <wps:spPr>
                      <a:xfrm>
                        <a:off x="0" y="0"/>
                        <a:ext cx="6600825" cy="704850"/>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-1876424</wp:posOffset>
              </wp:positionH>
              <wp:positionV relativeFrom="paragraph">
                <wp:posOffset>160020</wp:posOffset>
              </wp:positionV>
              <wp:extent cx="6610350" cy="70485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610350" cy="704850"/>
                      </a:xfrm>
                      <a:prstGeom prst="rect"/>
                      <a:ln/>
                    </pic:spPr>
                  </pic:pic>
                </a:graphicData>
              </a:graphic>
            </wp:anchor>
          </w:drawing>
        </mc:Fallback>
      </mc:AlternateContent>
    </w:r>
    <w:r w:rsidRPr="00FF3475">
      <w:rPr>
        <w:rFonts w:ascii="Open Sans" w:hAnsi="Open Sans" w:cs="Open Sans"/>
        <w:noProof/>
        <w:lang w:val="es-419" w:eastAsia="es-419"/>
      </w:rPr>
      <w:drawing>
        <wp:anchor distT="0" distB="0" distL="0" distR="0" simplePos="0" relativeHeight="251662336" behindDoc="1" locked="0" layoutInCell="1" hidden="0" allowOverlap="1" wp14:anchorId="24C3858E" wp14:editId="7BE7550D">
          <wp:simplePos x="0" y="0"/>
          <wp:positionH relativeFrom="column">
            <wp:posOffset>57150</wp:posOffset>
          </wp:positionH>
          <wp:positionV relativeFrom="paragraph">
            <wp:posOffset>360045</wp:posOffset>
          </wp:positionV>
          <wp:extent cx="4381500" cy="259644"/>
          <wp:effectExtent l="0" t="0" r="0" b="0"/>
          <wp:wrapNone/>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4381500" cy="259644"/>
                  </a:xfrm>
                  <a:prstGeom prst="rect">
                    <a:avLst/>
                  </a:prstGeom>
                  <a:ln/>
                </pic:spPr>
              </pic:pic>
            </a:graphicData>
          </a:graphic>
        </wp:anchor>
      </w:drawing>
    </w:r>
    <w:r w:rsidRPr="00FF3475">
      <w:rPr>
        <w:rFonts w:ascii="Open Sans" w:hAnsi="Open Sans" w:cs="Open Sans"/>
        <w:noProof/>
        <w:lang w:val="es-419" w:eastAsia="es-419"/>
      </w:rPr>
      <w:drawing>
        <wp:anchor distT="0" distB="0" distL="0" distR="0" simplePos="0" relativeHeight="251663360" behindDoc="1" locked="0" layoutInCell="1" hidden="0" allowOverlap="1" wp14:anchorId="74B6C3F6" wp14:editId="2288B878">
          <wp:simplePos x="0" y="0"/>
          <wp:positionH relativeFrom="column">
            <wp:posOffset>-3009899</wp:posOffset>
          </wp:positionH>
          <wp:positionV relativeFrom="paragraph">
            <wp:posOffset>-953769</wp:posOffset>
          </wp:positionV>
          <wp:extent cx="3238500" cy="2857077"/>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3238500" cy="285707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90E22" w14:textId="77777777" w:rsidR="00F77CBB" w:rsidRDefault="00F77CBB">
      <w:pPr>
        <w:spacing w:after="0" w:line="240" w:lineRule="auto"/>
      </w:pPr>
      <w:r>
        <w:separator/>
      </w:r>
    </w:p>
  </w:footnote>
  <w:footnote w:type="continuationSeparator" w:id="0">
    <w:p w14:paraId="0275C1B3" w14:textId="77777777" w:rsidR="00F77CBB" w:rsidRDefault="00F77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80E3" w14:textId="0C90D586" w:rsidR="00EB67EE" w:rsidRPr="00203170" w:rsidRDefault="00203170" w:rsidP="00203170">
    <w:pPr>
      <w:pBdr>
        <w:bottom w:val="single" w:sz="8" w:space="1" w:color="7F7F7F" w:themeColor="text1" w:themeTint="80"/>
      </w:pBdr>
      <w:jc w:val="both"/>
      <w:rPr>
        <w:rFonts w:ascii="Open Sans" w:eastAsia="Open Sans" w:hAnsi="Open Sans" w:cs="Open Sans"/>
        <w:b/>
        <w:color w:val="808080" w:themeColor="background1" w:themeShade="80"/>
        <w:sz w:val="20"/>
        <w:szCs w:val="20"/>
      </w:rPr>
    </w:pPr>
    <w:r w:rsidRPr="001F08F5">
      <w:rPr>
        <w:rFonts w:ascii="Open Sans" w:eastAsia="Open Sans" w:hAnsi="Open Sans" w:cs="Open Sans"/>
        <w:b/>
        <w:color w:val="808080" w:themeColor="background1" w:themeShade="80"/>
        <w:sz w:val="20"/>
        <w:szCs w:val="20"/>
      </w:rPr>
      <w:t>INFORME DE POLÍTICAS PÚBLICAS</w:t>
    </w:r>
    <w:r w:rsidRPr="001F08F5">
      <w:rPr>
        <w:noProof/>
        <w:sz w:val="20"/>
        <w:szCs w:val="20"/>
        <w:lang w:val="es-419" w:eastAsia="es-419"/>
      </w:rPr>
      <mc:AlternateContent>
        <mc:Choice Requires="wps">
          <w:drawing>
            <wp:anchor distT="0" distB="0" distL="114300" distR="114300" simplePos="0" relativeHeight="251665408" behindDoc="0" locked="0" layoutInCell="1" hidden="0" allowOverlap="1" wp14:anchorId="274EEB37" wp14:editId="19A256E7">
              <wp:simplePos x="0" y="0"/>
              <wp:positionH relativeFrom="column">
                <wp:posOffset>-1390649</wp:posOffset>
              </wp:positionH>
              <wp:positionV relativeFrom="paragraph">
                <wp:posOffset>-457199</wp:posOffset>
              </wp:positionV>
              <wp:extent cx="826135" cy="915035"/>
              <wp:effectExtent l="0" t="0" r="0" b="0"/>
              <wp:wrapNone/>
              <wp:docPr id="13" name="Rectángulo 13"/>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B9CC4" id="Rectángulo 13" o:spid="_x0000_s1026" style="position:absolute;margin-left:-109.5pt;margin-top:-36pt;width:65.05pt;height:72.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a+0ungIAAIgFAAAOAAAAZHJzL2Uyb0RvYy54bWysVMFu2zAMvQ/YPwi6r7aTpmuDOkXWosOA oi3aDj0rshQbkEVNUuJkf7Nv2Y+Nkmyn64odhuWgkCL5KD6TPL/YtYpshXUN6JIWRzklQnOoGr0u 6den6w+nlDjPdMUUaFHSvXD0YvH+3Xln5mICNahKWIIg2s07U9LaezPPMsdr0TJ3BEZoNEqwLfOo 2nVWWdYhequySZ6fZB3Yyljgwjm8vUpGuoj4Ugru76R0whNVUnybj6eN5yqc2eKczdeWmbrh/TPY P7yiZY3GpCPUFfOMbGzzB1TbcAsOpD/i0GYgZcNFrAGrKfJX1TzWzIhYC5LjzEiT+3+w/HZ7b0lT 4bebUqJZi9/oAVn7+UOvNwoI3iJFnXFz9Hw097bXHIqh3p20bfjHSsgu0rofaRU7Tzhenk5OiumM Eo6ms2KWo4wo2SHYWOc/C2hJEEpqMX8kk21vnE+ug0vI5UA11XWjVFTsenWpLNky/MJXn/J8OunR f3NTOjhrCGEJMdxkobBUSpT8Xongp/SDkMgKPn4SXxL7UYx5GOdC+yKZalaJlH6W42/IHjo4RMRK I2BAlph/xO4BBs8EMmCnV/b+IVTEdh6D8789LAWPETEzaD8Gt40G+xaAwqr6zMl/IClRE1haQbXH nrGQhskZft3gd7thzt8zi9ODc4Ybwd/hIRV0JYVeoqQG+/2t++CPTY1WSjqcxpK6bxtmBSXqi8Z2 PyuOj8P4RuV49nGCin1pWb206E17CdgOBe4ew6MY/L0aRGmhfcbFsQxZ0cQ0x9wl5d4OyqVPWwJX DxfLZXTDkTXM3+hHwwN4YDX05dPumVnTN6/Hrr+FYXLZ/FUPJ98QqWG58SCb2OAHXnu+cdxj4/Sr KeyTl3r0OizQxS8AAAD//wMAUEsDBBQABgAIAAAAIQCuUZzS4wAAAAsBAAAPAAAAZHJzL2Rvd25y ZXYueG1sTI9PT4NAEMXvJv0Om2nixdAFYiwgS1NNvPinpqipxy27ApGdJexS8Ns7nurtvczLm9/L N7Pp2EkPrrUoIFqFwDRWVrVYC3h/ewgSYM5LVLKzqAX8aAebYnGRy0zZCff6VPqaUQm6TApovO8z zl3VaCPdyvYa6fZlByM92aHmapATlZuOx2F4w41skT40stf3ja6+y9EI+Dh8Hl6vH5/S+e6ltNv9 NF6p550Ql8t5ewvM69mfw/CHT+hQENPRjqgc6wQEcZTSGE9qHZOgSJAkKbCjgHUcAS9y/n9D8QsA AP//AwBQSwECLQAUAAYACAAAACEAtoM4kv4AAADhAQAAEwAAAAAAAAAAAAAAAAAAAAAAW0NvbnRl bnRfVHlwZXNdLnhtbFBLAQItABQABgAIAAAAIQA4/SH/1gAAAJQBAAALAAAAAAAAAAAAAAAAAC8B AABfcmVscy8ucmVsc1BLAQItABQABgAIAAAAIQCea+0ungIAAIgFAAAOAAAAAAAAAAAAAAAAAC4C AABkcnMvZTJvRG9jLnhtbFBLAQItABQABgAIAAAAIQCuUZzS4wAAAAsBAAAPAAAAAAAAAAAAAAAA APgEAABkcnMvZG93bnJldi54bWxQSwUGAAAAAAQABADzAAAACAYAAAAA " fillcolor="#db0032" stroked="f" strokeweight="2pt"/>
          </w:pict>
        </mc:Fallback>
      </mc:AlternateContent>
    </w:r>
    <w:r w:rsidRPr="001F08F5">
      <w:rPr>
        <w:noProof/>
        <w:sz w:val="20"/>
        <w:szCs w:val="20"/>
        <w:lang w:val="es-419" w:eastAsia="es-419"/>
      </w:rPr>
      <w:drawing>
        <wp:anchor distT="0" distB="0" distL="114300" distR="114300" simplePos="0" relativeHeight="251666432" behindDoc="0" locked="0" layoutInCell="1" hidden="0" allowOverlap="1" wp14:anchorId="03EC9F0F" wp14:editId="279EAC56">
          <wp:simplePos x="0" y="0"/>
          <wp:positionH relativeFrom="column">
            <wp:posOffset>-1390650</wp:posOffset>
          </wp:positionH>
          <wp:positionV relativeFrom="paragraph">
            <wp:posOffset>-304799</wp:posOffset>
          </wp:positionV>
          <wp:extent cx="827593" cy="729712"/>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Pr="001F08F5">
      <w:rPr>
        <w:noProof/>
        <w:sz w:val="20"/>
        <w:szCs w:val="20"/>
        <w:lang w:val="es-419" w:eastAsia="es-419"/>
      </w:rPr>
      <w:drawing>
        <wp:anchor distT="0" distB="0" distL="114300" distR="114300" simplePos="0" relativeHeight="251667456" behindDoc="0" locked="0" layoutInCell="1" hidden="0" allowOverlap="1" wp14:anchorId="0D462754" wp14:editId="575F6AF3">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15"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Pr="001F08F5">
      <w:rPr>
        <w:rFonts w:ascii="Open Sans" w:eastAsia="Open Sans" w:hAnsi="Open Sans" w:cs="Open Sans"/>
        <w:b/>
        <w:color w:val="808080" w:themeColor="background1" w:themeShade="80"/>
        <w:sz w:val="20"/>
        <w:szCs w:val="20"/>
      </w:rPr>
      <w:tab/>
    </w:r>
    <w:r w:rsidRPr="001F08F5">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t xml:space="preserve">         </w:t>
    </w:r>
    <w:r w:rsidR="0035502A">
      <w:rPr>
        <w:rFonts w:ascii="Open Sans" w:eastAsia="Open Sans" w:hAnsi="Open Sans" w:cs="Open Sans"/>
        <w:b/>
        <w:color w:val="808080" w:themeColor="background1" w:themeShade="80"/>
        <w:sz w:val="20"/>
        <w:szCs w:val="20"/>
      </w:rPr>
      <w:t>Junio</w:t>
    </w:r>
    <w:r w:rsidRPr="001F08F5">
      <w:rPr>
        <w:rFonts w:ascii="Open Sans" w:eastAsia="Open Sans" w:hAnsi="Open Sans" w:cs="Open Sans"/>
        <w:b/>
        <w:color w:val="808080" w:themeColor="background1" w:themeShade="80"/>
        <w:sz w:val="20"/>
        <w:szCs w:val="20"/>
      </w:rPr>
      <w:t xml:space="preserve"> 202</w:t>
    </w:r>
    <w:r w:rsidR="009D36B3">
      <w:rPr>
        <w:noProof/>
        <w:lang w:val="es-419" w:eastAsia="es-419"/>
      </w:rPr>
      <mc:AlternateContent>
        <mc:Choice Requires="wps">
          <w:drawing>
            <wp:anchor distT="0" distB="0" distL="114300" distR="114300" simplePos="0" relativeHeight="251658240" behindDoc="0" locked="0" layoutInCell="1" hidden="0" allowOverlap="1" wp14:anchorId="5FFD0720" wp14:editId="0907423A">
              <wp:simplePos x="0" y="0"/>
              <wp:positionH relativeFrom="column">
                <wp:posOffset>-1390649</wp:posOffset>
              </wp:positionH>
              <wp:positionV relativeFrom="paragraph">
                <wp:posOffset>-457199</wp:posOffset>
              </wp:positionV>
              <wp:extent cx="826135" cy="915035"/>
              <wp:effectExtent l="0" t="0" r="0" b="0"/>
              <wp:wrapNone/>
              <wp:docPr id="1" name="Rectángulo 1"/>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-1390649</wp:posOffset>
              </wp:positionH>
              <wp:positionV relativeFrom="paragraph">
                <wp:posOffset>-457199</wp:posOffset>
              </wp:positionV>
              <wp:extent cx="826135" cy="915035"/>
              <wp:effectExtent b="0" l="0" r="0" t="0"/>
              <wp:wrapNone/>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826135" cy="915035"/>
                      </a:xfrm>
                      <a:prstGeom prst="rect"/>
                      <a:ln/>
                    </pic:spPr>
                  </pic:pic>
                </a:graphicData>
              </a:graphic>
            </wp:anchor>
          </w:drawing>
        </mc:Fallback>
      </mc:AlternateContent>
    </w:r>
    <w:r w:rsidR="009D36B3">
      <w:rPr>
        <w:noProof/>
        <w:lang w:val="es-419" w:eastAsia="es-419"/>
      </w:rPr>
      <w:drawing>
        <wp:anchor distT="0" distB="0" distL="114300" distR="114300" simplePos="0" relativeHeight="251659264" behindDoc="0" locked="0" layoutInCell="1" hidden="0" allowOverlap="1" wp14:anchorId="76845840" wp14:editId="4E3A7D65">
          <wp:simplePos x="0" y="0"/>
          <wp:positionH relativeFrom="column">
            <wp:posOffset>-1390650</wp:posOffset>
          </wp:positionH>
          <wp:positionV relativeFrom="paragraph">
            <wp:posOffset>-304799</wp:posOffset>
          </wp:positionV>
          <wp:extent cx="827593" cy="729712"/>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009D36B3">
      <w:rPr>
        <w:noProof/>
        <w:lang w:val="es-419" w:eastAsia="es-419"/>
      </w:rPr>
      <w:drawing>
        <wp:anchor distT="0" distB="0" distL="114300" distR="114300" simplePos="0" relativeHeight="251660288" behindDoc="0" locked="0" layoutInCell="1" hidden="0" allowOverlap="1" wp14:anchorId="34E96621" wp14:editId="78FFE30A">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6"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00810E02">
      <w:rPr>
        <w:rFonts w:ascii="Open Sans" w:eastAsia="Open Sans" w:hAnsi="Open Sans" w:cs="Open Sans"/>
        <w:b/>
        <w:color w:val="808080" w:themeColor="background1" w:themeShade="8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AEA"/>
    <w:multiLevelType w:val="hybridMultilevel"/>
    <w:tmpl w:val="8A1848D6"/>
    <w:lvl w:ilvl="0" w:tplc="580A0001">
      <w:start w:val="1"/>
      <w:numFmt w:val="bullet"/>
      <w:lvlText w:val=""/>
      <w:lvlJc w:val="left"/>
      <w:pPr>
        <w:ind w:left="2421" w:hanging="360"/>
      </w:pPr>
      <w:rPr>
        <w:rFonts w:ascii="Symbol" w:hAnsi="Symbol" w:hint="default"/>
      </w:rPr>
    </w:lvl>
    <w:lvl w:ilvl="1" w:tplc="580A0003" w:tentative="1">
      <w:start w:val="1"/>
      <w:numFmt w:val="bullet"/>
      <w:lvlText w:val="o"/>
      <w:lvlJc w:val="left"/>
      <w:pPr>
        <w:ind w:left="3141" w:hanging="360"/>
      </w:pPr>
      <w:rPr>
        <w:rFonts w:ascii="Courier New" w:hAnsi="Courier New" w:cs="Courier New" w:hint="default"/>
      </w:rPr>
    </w:lvl>
    <w:lvl w:ilvl="2" w:tplc="580A0005" w:tentative="1">
      <w:start w:val="1"/>
      <w:numFmt w:val="bullet"/>
      <w:lvlText w:val=""/>
      <w:lvlJc w:val="left"/>
      <w:pPr>
        <w:ind w:left="3861" w:hanging="360"/>
      </w:pPr>
      <w:rPr>
        <w:rFonts w:ascii="Wingdings" w:hAnsi="Wingdings" w:hint="default"/>
      </w:rPr>
    </w:lvl>
    <w:lvl w:ilvl="3" w:tplc="580A0001" w:tentative="1">
      <w:start w:val="1"/>
      <w:numFmt w:val="bullet"/>
      <w:lvlText w:val=""/>
      <w:lvlJc w:val="left"/>
      <w:pPr>
        <w:ind w:left="4581" w:hanging="360"/>
      </w:pPr>
      <w:rPr>
        <w:rFonts w:ascii="Symbol" w:hAnsi="Symbol" w:hint="default"/>
      </w:rPr>
    </w:lvl>
    <w:lvl w:ilvl="4" w:tplc="580A0003" w:tentative="1">
      <w:start w:val="1"/>
      <w:numFmt w:val="bullet"/>
      <w:lvlText w:val="o"/>
      <w:lvlJc w:val="left"/>
      <w:pPr>
        <w:ind w:left="5301" w:hanging="360"/>
      </w:pPr>
      <w:rPr>
        <w:rFonts w:ascii="Courier New" w:hAnsi="Courier New" w:cs="Courier New" w:hint="default"/>
      </w:rPr>
    </w:lvl>
    <w:lvl w:ilvl="5" w:tplc="580A0005" w:tentative="1">
      <w:start w:val="1"/>
      <w:numFmt w:val="bullet"/>
      <w:lvlText w:val=""/>
      <w:lvlJc w:val="left"/>
      <w:pPr>
        <w:ind w:left="6021" w:hanging="360"/>
      </w:pPr>
      <w:rPr>
        <w:rFonts w:ascii="Wingdings" w:hAnsi="Wingdings" w:hint="default"/>
      </w:rPr>
    </w:lvl>
    <w:lvl w:ilvl="6" w:tplc="580A0001" w:tentative="1">
      <w:start w:val="1"/>
      <w:numFmt w:val="bullet"/>
      <w:lvlText w:val=""/>
      <w:lvlJc w:val="left"/>
      <w:pPr>
        <w:ind w:left="6741" w:hanging="360"/>
      </w:pPr>
      <w:rPr>
        <w:rFonts w:ascii="Symbol" w:hAnsi="Symbol" w:hint="default"/>
      </w:rPr>
    </w:lvl>
    <w:lvl w:ilvl="7" w:tplc="580A0003" w:tentative="1">
      <w:start w:val="1"/>
      <w:numFmt w:val="bullet"/>
      <w:lvlText w:val="o"/>
      <w:lvlJc w:val="left"/>
      <w:pPr>
        <w:ind w:left="7461" w:hanging="360"/>
      </w:pPr>
      <w:rPr>
        <w:rFonts w:ascii="Courier New" w:hAnsi="Courier New" w:cs="Courier New" w:hint="default"/>
      </w:rPr>
    </w:lvl>
    <w:lvl w:ilvl="8" w:tplc="580A0005" w:tentative="1">
      <w:start w:val="1"/>
      <w:numFmt w:val="bullet"/>
      <w:lvlText w:val=""/>
      <w:lvlJc w:val="left"/>
      <w:pPr>
        <w:ind w:left="8181" w:hanging="360"/>
      </w:pPr>
      <w:rPr>
        <w:rFonts w:ascii="Wingdings" w:hAnsi="Wingdings" w:hint="default"/>
      </w:rPr>
    </w:lvl>
  </w:abstractNum>
  <w:abstractNum w:abstractNumId="1" w15:restartNumberingAfterBreak="0">
    <w:nsid w:val="14484313"/>
    <w:multiLevelType w:val="hybridMultilevel"/>
    <w:tmpl w:val="052E17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33315621">
    <w:abstractNumId w:val="0"/>
  </w:num>
  <w:num w:numId="2" w16cid:durableId="3520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EE"/>
    <w:rsid w:val="0000752D"/>
    <w:rsid w:val="0004018B"/>
    <w:rsid w:val="00055F43"/>
    <w:rsid w:val="000A20E3"/>
    <w:rsid w:val="000B7F2B"/>
    <w:rsid w:val="000C1ED9"/>
    <w:rsid w:val="000D51FA"/>
    <w:rsid w:val="000E12DE"/>
    <w:rsid w:val="000E627A"/>
    <w:rsid w:val="000F2E96"/>
    <w:rsid w:val="001037BA"/>
    <w:rsid w:val="00103C02"/>
    <w:rsid w:val="00135212"/>
    <w:rsid w:val="001472AF"/>
    <w:rsid w:val="00163E83"/>
    <w:rsid w:val="00187188"/>
    <w:rsid w:val="00191068"/>
    <w:rsid w:val="001B1201"/>
    <w:rsid w:val="001B5BBD"/>
    <w:rsid w:val="001B7C74"/>
    <w:rsid w:val="001D5AE1"/>
    <w:rsid w:val="001F510D"/>
    <w:rsid w:val="001F55AF"/>
    <w:rsid w:val="001F60CF"/>
    <w:rsid w:val="001F6740"/>
    <w:rsid w:val="00203170"/>
    <w:rsid w:val="00203E17"/>
    <w:rsid w:val="00210474"/>
    <w:rsid w:val="00226B46"/>
    <w:rsid w:val="00227578"/>
    <w:rsid w:val="00234E37"/>
    <w:rsid w:val="002378BC"/>
    <w:rsid w:val="00244C6B"/>
    <w:rsid w:val="002502A3"/>
    <w:rsid w:val="00254EE9"/>
    <w:rsid w:val="002643B5"/>
    <w:rsid w:val="00287C91"/>
    <w:rsid w:val="00297862"/>
    <w:rsid w:val="002A69D7"/>
    <w:rsid w:val="002A7DE5"/>
    <w:rsid w:val="002B5899"/>
    <w:rsid w:val="002C38B0"/>
    <w:rsid w:val="00301B78"/>
    <w:rsid w:val="00301F5B"/>
    <w:rsid w:val="0030498B"/>
    <w:rsid w:val="00310654"/>
    <w:rsid w:val="0031336F"/>
    <w:rsid w:val="00313C81"/>
    <w:rsid w:val="00316C68"/>
    <w:rsid w:val="00342D98"/>
    <w:rsid w:val="00347338"/>
    <w:rsid w:val="0035502A"/>
    <w:rsid w:val="00355147"/>
    <w:rsid w:val="00360C33"/>
    <w:rsid w:val="00377F02"/>
    <w:rsid w:val="00387088"/>
    <w:rsid w:val="00394D56"/>
    <w:rsid w:val="00396BD4"/>
    <w:rsid w:val="003A09DC"/>
    <w:rsid w:val="003A3D4B"/>
    <w:rsid w:val="003B13D1"/>
    <w:rsid w:val="003E5A50"/>
    <w:rsid w:val="003F0501"/>
    <w:rsid w:val="004058FE"/>
    <w:rsid w:val="004262D8"/>
    <w:rsid w:val="0042750F"/>
    <w:rsid w:val="00447B8B"/>
    <w:rsid w:val="00451CBE"/>
    <w:rsid w:val="0046174B"/>
    <w:rsid w:val="00463066"/>
    <w:rsid w:val="0046622E"/>
    <w:rsid w:val="00487304"/>
    <w:rsid w:val="004B753A"/>
    <w:rsid w:val="004C139B"/>
    <w:rsid w:val="004C74B5"/>
    <w:rsid w:val="004D190E"/>
    <w:rsid w:val="004D6B65"/>
    <w:rsid w:val="004D7806"/>
    <w:rsid w:val="00542027"/>
    <w:rsid w:val="005565BE"/>
    <w:rsid w:val="00560604"/>
    <w:rsid w:val="00565DFF"/>
    <w:rsid w:val="005705EB"/>
    <w:rsid w:val="0058153D"/>
    <w:rsid w:val="00581E79"/>
    <w:rsid w:val="0058325B"/>
    <w:rsid w:val="005B59F3"/>
    <w:rsid w:val="005F02A6"/>
    <w:rsid w:val="005F39F2"/>
    <w:rsid w:val="00614375"/>
    <w:rsid w:val="0065066B"/>
    <w:rsid w:val="00653E60"/>
    <w:rsid w:val="0066060A"/>
    <w:rsid w:val="006A7DBD"/>
    <w:rsid w:val="006B2BA8"/>
    <w:rsid w:val="006B6313"/>
    <w:rsid w:val="006B6F30"/>
    <w:rsid w:val="006C0527"/>
    <w:rsid w:val="006D67CE"/>
    <w:rsid w:val="00712256"/>
    <w:rsid w:val="007200EB"/>
    <w:rsid w:val="00781588"/>
    <w:rsid w:val="00784400"/>
    <w:rsid w:val="0079022C"/>
    <w:rsid w:val="00790A7E"/>
    <w:rsid w:val="007974F0"/>
    <w:rsid w:val="007B1D59"/>
    <w:rsid w:val="007E720C"/>
    <w:rsid w:val="007F0FF9"/>
    <w:rsid w:val="00807A60"/>
    <w:rsid w:val="00810E02"/>
    <w:rsid w:val="00826252"/>
    <w:rsid w:val="008351B2"/>
    <w:rsid w:val="008421F1"/>
    <w:rsid w:val="00842C6C"/>
    <w:rsid w:val="0085000F"/>
    <w:rsid w:val="00851002"/>
    <w:rsid w:val="00866B2B"/>
    <w:rsid w:val="00873D76"/>
    <w:rsid w:val="00885224"/>
    <w:rsid w:val="008908CA"/>
    <w:rsid w:val="00891D64"/>
    <w:rsid w:val="008A3E6D"/>
    <w:rsid w:val="008B3574"/>
    <w:rsid w:val="008B5D75"/>
    <w:rsid w:val="008B763B"/>
    <w:rsid w:val="008F36C3"/>
    <w:rsid w:val="009043D6"/>
    <w:rsid w:val="009078BD"/>
    <w:rsid w:val="0092318B"/>
    <w:rsid w:val="00930944"/>
    <w:rsid w:val="0095138C"/>
    <w:rsid w:val="00962CF7"/>
    <w:rsid w:val="009658BB"/>
    <w:rsid w:val="00971E54"/>
    <w:rsid w:val="009B3EA8"/>
    <w:rsid w:val="009B51E2"/>
    <w:rsid w:val="009C432F"/>
    <w:rsid w:val="009D36B3"/>
    <w:rsid w:val="00A05D49"/>
    <w:rsid w:val="00A53109"/>
    <w:rsid w:val="00A57867"/>
    <w:rsid w:val="00AC6393"/>
    <w:rsid w:val="00AD0207"/>
    <w:rsid w:val="00AD1554"/>
    <w:rsid w:val="00AE5070"/>
    <w:rsid w:val="00AE5CEE"/>
    <w:rsid w:val="00B117F0"/>
    <w:rsid w:val="00B16FC3"/>
    <w:rsid w:val="00B37EA2"/>
    <w:rsid w:val="00B63C10"/>
    <w:rsid w:val="00B66016"/>
    <w:rsid w:val="00B81215"/>
    <w:rsid w:val="00BA462B"/>
    <w:rsid w:val="00BA57FA"/>
    <w:rsid w:val="00BC36C7"/>
    <w:rsid w:val="00BD1CAE"/>
    <w:rsid w:val="00BD1DB3"/>
    <w:rsid w:val="00BE242E"/>
    <w:rsid w:val="00C17C59"/>
    <w:rsid w:val="00C208BB"/>
    <w:rsid w:val="00C460E7"/>
    <w:rsid w:val="00C50EE6"/>
    <w:rsid w:val="00C6032B"/>
    <w:rsid w:val="00C60FED"/>
    <w:rsid w:val="00C6380B"/>
    <w:rsid w:val="00C8070D"/>
    <w:rsid w:val="00CA48FD"/>
    <w:rsid w:val="00CA720F"/>
    <w:rsid w:val="00CB3634"/>
    <w:rsid w:val="00CD496B"/>
    <w:rsid w:val="00CD6E0F"/>
    <w:rsid w:val="00CE0881"/>
    <w:rsid w:val="00CE0EFF"/>
    <w:rsid w:val="00CE145E"/>
    <w:rsid w:val="00D238F6"/>
    <w:rsid w:val="00D24284"/>
    <w:rsid w:val="00D57E00"/>
    <w:rsid w:val="00D71056"/>
    <w:rsid w:val="00D76C53"/>
    <w:rsid w:val="00D806F2"/>
    <w:rsid w:val="00DC1563"/>
    <w:rsid w:val="00DE312D"/>
    <w:rsid w:val="00DF7D0B"/>
    <w:rsid w:val="00E064BC"/>
    <w:rsid w:val="00E07379"/>
    <w:rsid w:val="00E40092"/>
    <w:rsid w:val="00E41014"/>
    <w:rsid w:val="00E42106"/>
    <w:rsid w:val="00E53818"/>
    <w:rsid w:val="00E57957"/>
    <w:rsid w:val="00E92EDB"/>
    <w:rsid w:val="00EA029D"/>
    <w:rsid w:val="00EB67EE"/>
    <w:rsid w:val="00EC7D20"/>
    <w:rsid w:val="00EF1FEC"/>
    <w:rsid w:val="00F008B8"/>
    <w:rsid w:val="00F043EA"/>
    <w:rsid w:val="00F337FC"/>
    <w:rsid w:val="00F73F9F"/>
    <w:rsid w:val="00F77CBB"/>
    <w:rsid w:val="00F85134"/>
    <w:rsid w:val="00F91BB3"/>
    <w:rsid w:val="00FA3EC0"/>
    <w:rsid w:val="00FA3F93"/>
    <w:rsid w:val="00FA5AD4"/>
    <w:rsid w:val="00FB44D1"/>
    <w:rsid w:val="00FD319E"/>
    <w:rsid w:val="00FD39DB"/>
    <w:rsid w:val="00FE154F"/>
    <w:rsid w:val="00FE2A00"/>
    <w:rsid w:val="00FF3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59A47"/>
  <w15:docId w15:val="{0593A561-8F4C-4F94-9096-DF668987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FF34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3475"/>
  </w:style>
  <w:style w:type="paragraph" w:styleId="Piedepgina">
    <w:name w:val="footer"/>
    <w:basedOn w:val="Normal"/>
    <w:link w:val="PiedepginaCar"/>
    <w:uiPriority w:val="99"/>
    <w:unhideWhenUsed/>
    <w:rsid w:val="00FF34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3475"/>
  </w:style>
  <w:style w:type="paragraph" w:styleId="Prrafodelista">
    <w:name w:val="List Paragraph"/>
    <w:basedOn w:val="Normal"/>
    <w:uiPriority w:val="34"/>
    <w:qFormat/>
    <w:rsid w:val="002A69D7"/>
    <w:pPr>
      <w:ind w:left="720"/>
      <w:contextualSpacing/>
    </w:pPr>
    <w:rPr>
      <w:rFonts w:asciiTheme="minorHAnsi" w:eastAsiaTheme="minorHAnsi" w:hAnsiTheme="minorHAnsi" w:cstheme="minorBidi"/>
      <w:lang w:val="es-ES"/>
    </w:rPr>
  </w:style>
  <w:style w:type="paragraph" w:styleId="NormalWeb">
    <w:name w:val="Normal (Web)"/>
    <w:basedOn w:val="Normal"/>
    <w:uiPriority w:val="99"/>
    <w:unhideWhenUsed/>
    <w:rsid w:val="00360C3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Refdecomentario">
    <w:name w:val="annotation reference"/>
    <w:basedOn w:val="Fuentedeprrafopredeter"/>
    <w:uiPriority w:val="99"/>
    <w:semiHidden/>
    <w:unhideWhenUsed/>
    <w:rsid w:val="00CE145E"/>
    <w:rPr>
      <w:sz w:val="16"/>
      <w:szCs w:val="16"/>
    </w:rPr>
  </w:style>
  <w:style w:type="paragraph" w:styleId="Textocomentario">
    <w:name w:val="annotation text"/>
    <w:basedOn w:val="Normal"/>
    <w:link w:val="TextocomentarioCar"/>
    <w:uiPriority w:val="99"/>
    <w:unhideWhenUsed/>
    <w:rsid w:val="00CE145E"/>
    <w:pPr>
      <w:spacing w:line="240" w:lineRule="auto"/>
    </w:pPr>
    <w:rPr>
      <w:sz w:val="20"/>
      <w:szCs w:val="20"/>
    </w:rPr>
  </w:style>
  <w:style w:type="character" w:customStyle="1" w:styleId="TextocomentarioCar">
    <w:name w:val="Texto comentario Car"/>
    <w:basedOn w:val="Fuentedeprrafopredeter"/>
    <w:link w:val="Textocomentario"/>
    <w:uiPriority w:val="99"/>
    <w:rsid w:val="00CE145E"/>
    <w:rPr>
      <w:sz w:val="20"/>
      <w:szCs w:val="20"/>
    </w:rPr>
  </w:style>
  <w:style w:type="paragraph" w:styleId="Asuntodelcomentario">
    <w:name w:val="annotation subject"/>
    <w:basedOn w:val="Textocomentario"/>
    <w:next w:val="Textocomentario"/>
    <w:link w:val="AsuntodelcomentarioCar"/>
    <w:uiPriority w:val="99"/>
    <w:semiHidden/>
    <w:unhideWhenUsed/>
    <w:rsid w:val="00CE145E"/>
    <w:rPr>
      <w:b/>
      <w:bCs/>
    </w:rPr>
  </w:style>
  <w:style w:type="character" w:customStyle="1" w:styleId="AsuntodelcomentarioCar">
    <w:name w:val="Asunto del comentario Car"/>
    <w:basedOn w:val="TextocomentarioCar"/>
    <w:link w:val="Asuntodelcomentario"/>
    <w:uiPriority w:val="99"/>
    <w:semiHidden/>
    <w:rsid w:val="00CE145E"/>
    <w:rPr>
      <w:b/>
      <w:bCs/>
      <w:sz w:val="20"/>
      <w:szCs w:val="20"/>
    </w:rPr>
  </w:style>
  <w:style w:type="paragraph" w:styleId="Revisin">
    <w:name w:val="Revision"/>
    <w:hidden/>
    <w:uiPriority w:val="99"/>
    <w:semiHidden/>
    <w:rsid w:val="004C139B"/>
    <w:pPr>
      <w:spacing w:after="0" w:line="240" w:lineRule="auto"/>
    </w:pPr>
  </w:style>
  <w:style w:type="paragraph" w:customStyle="1" w:styleId="Textonotapie1">
    <w:name w:val="Texto nota pie1"/>
    <w:basedOn w:val="Normal"/>
    <w:next w:val="Textonotapie"/>
    <w:link w:val="TextonotapieCar"/>
    <w:uiPriority w:val="99"/>
    <w:semiHidden/>
    <w:unhideWhenUsed/>
    <w:rsid w:val="00A53109"/>
    <w:pPr>
      <w:spacing w:after="0" w:line="240" w:lineRule="auto"/>
    </w:pPr>
    <w:rPr>
      <w:sz w:val="20"/>
      <w:szCs w:val="20"/>
    </w:rPr>
  </w:style>
  <w:style w:type="character" w:customStyle="1" w:styleId="TextonotapieCar">
    <w:name w:val="Texto nota pie Car"/>
    <w:basedOn w:val="Fuentedeprrafopredeter"/>
    <w:link w:val="Textonotapie1"/>
    <w:uiPriority w:val="99"/>
    <w:semiHidden/>
    <w:rsid w:val="00A53109"/>
    <w:rPr>
      <w:sz w:val="20"/>
      <w:szCs w:val="20"/>
    </w:rPr>
  </w:style>
  <w:style w:type="character" w:styleId="Refdenotaalpie">
    <w:name w:val="footnote reference"/>
    <w:basedOn w:val="Fuentedeprrafopredeter"/>
    <w:uiPriority w:val="99"/>
    <w:semiHidden/>
    <w:unhideWhenUsed/>
    <w:rsid w:val="00A53109"/>
    <w:rPr>
      <w:vertAlign w:val="superscript"/>
    </w:rPr>
  </w:style>
  <w:style w:type="character" w:customStyle="1" w:styleId="Hipervnculo1">
    <w:name w:val="Hipervínculo1"/>
    <w:basedOn w:val="Fuentedeprrafopredeter"/>
    <w:uiPriority w:val="99"/>
    <w:unhideWhenUsed/>
    <w:rsid w:val="00A53109"/>
    <w:rPr>
      <w:color w:val="0563C1"/>
      <w:u w:val="single"/>
    </w:rPr>
  </w:style>
  <w:style w:type="table" w:customStyle="1" w:styleId="Tablaconcuadrcula1">
    <w:name w:val="Tabla con cuadrícula1"/>
    <w:basedOn w:val="Tablanormal"/>
    <w:next w:val="Tablaconcuadrcula"/>
    <w:uiPriority w:val="39"/>
    <w:rsid w:val="00A53109"/>
    <w:pPr>
      <w:spacing w:after="0" w:line="240" w:lineRule="auto"/>
    </w:pPr>
    <w:rPr>
      <w:rFonts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1"/>
    <w:uiPriority w:val="99"/>
    <w:semiHidden/>
    <w:unhideWhenUsed/>
    <w:rsid w:val="00A53109"/>
    <w:pPr>
      <w:spacing w:after="0" w:line="240" w:lineRule="auto"/>
    </w:pPr>
    <w:rPr>
      <w:sz w:val="20"/>
      <w:szCs w:val="20"/>
    </w:rPr>
  </w:style>
  <w:style w:type="character" w:customStyle="1" w:styleId="TextonotapieCar1">
    <w:name w:val="Texto nota pie Car1"/>
    <w:basedOn w:val="Fuentedeprrafopredeter"/>
    <w:link w:val="Textonotapie"/>
    <w:uiPriority w:val="99"/>
    <w:semiHidden/>
    <w:rsid w:val="00A53109"/>
    <w:rPr>
      <w:sz w:val="20"/>
      <w:szCs w:val="20"/>
    </w:rPr>
  </w:style>
  <w:style w:type="table" w:styleId="Tablaconcuadrcula">
    <w:name w:val="Table Grid"/>
    <w:basedOn w:val="Tablanormal"/>
    <w:uiPriority w:val="39"/>
    <w:rsid w:val="00A53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94D56"/>
    <w:rPr>
      <w:color w:val="0000FF" w:themeColor="hyperlink"/>
      <w:u w:val="single"/>
    </w:rPr>
  </w:style>
  <w:style w:type="character" w:styleId="Mencinsinresolver">
    <w:name w:val="Unresolved Mention"/>
    <w:basedOn w:val="Fuentedeprrafopredeter"/>
    <w:uiPriority w:val="99"/>
    <w:semiHidden/>
    <w:unhideWhenUsed/>
    <w:rsid w:val="00394D56"/>
    <w:rPr>
      <w:color w:val="605E5C"/>
      <w:shd w:val="clear" w:color="auto" w:fill="E1DFDD"/>
    </w:rPr>
  </w:style>
  <w:style w:type="character" w:styleId="Hipervnculovisitado">
    <w:name w:val="FollowedHyperlink"/>
    <w:basedOn w:val="Fuentedeprrafopredeter"/>
    <w:uiPriority w:val="99"/>
    <w:semiHidden/>
    <w:unhideWhenUsed/>
    <w:rsid w:val="003F05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5922">
      <w:bodyDiv w:val="1"/>
      <w:marLeft w:val="0"/>
      <w:marRight w:val="0"/>
      <w:marTop w:val="0"/>
      <w:marBottom w:val="0"/>
      <w:divBdr>
        <w:top w:val="none" w:sz="0" w:space="0" w:color="auto"/>
        <w:left w:val="none" w:sz="0" w:space="0" w:color="auto"/>
        <w:bottom w:val="none" w:sz="0" w:space="0" w:color="auto"/>
        <w:right w:val="none" w:sz="0" w:space="0" w:color="auto"/>
      </w:divBdr>
    </w:div>
    <w:div w:id="1243760587">
      <w:bodyDiv w:val="1"/>
      <w:marLeft w:val="0"/>
      <w:marRight w:val="0"/>
      <w:marTop w:val="0"/>
      <w:marBottom w:val="0"/>
      <w:divBdr>
        <w:top w:val="none" w:sz="0" w:space="0" w:color="auto"/>
        <w:left w:val="none" w:sz="0" w:space="0" w:color="auto"/>
        <w:bottom w:val="none" w:sz="0" w:space="0" w:color="auto"/>
        <w:right w:val="none" w:sz="0" w:space="0" w:color="auto"/>
      </w:divBdr>
    </w:div>
    <w:div w:id="1670017959">
      <w:bodyDiv w:val="1"/>
      <w:marLeft w:val="0"/>
      <w:marRight w:val="0"/>
      <w:marTop w:val="0"/>
      <w:marBottom w:val="0"/>
      <w:divBdr>
        <w:top w:val="none" w:sz="0" w:space="0" w:color="auto"/>
        <w:left w:val="none" w:sz="0" w:space="0" w:color="auto"/>
        <w:bottom w:val="none" w:sz="0" w:space="0" w:color="auto"/>
        <w:right w:val="none" w:sz="0" w:space="0" w:color="auto"/>
      </w:divBdr>
    </w:div>
    <w:div w:id="2062777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30.png"/></Relationships>
</file>

<file path=word/_rels/header1.xml.rels><?xml version="1.0" encoding="UTF-8"?><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F3D50-7D1A-4865-BFE5-2AE2530FC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2</Words>
  <Characters>16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franco1 marconi</cp:lastModifiedBy>
  <cp:revision>12</cp:revision>
  <cp:lastPrinted>2024-09-12T19:30:00Z</cp:lastPrinted>
  <dcterms:created xsi:type="dcterms:W3CDTF">2024-09-17T17:58:00Z</dcterms:created>
  <dcterms:modified xsi:type="dcterms:W3CDTF">2026-01-27T13:39:00Z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ffc068bd2e02df4eeb8795c9e65fe78f41b55f45276d1d0e36ffc4546ebb0bd9</vt:lpwstr>
  </property>
</Properties>
</file>