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428750" cy="552450"/>
            <wp:effectExtent t="0" r="0" b="0" l="0"/>
            <wp:docPr id="1" name="logo" descr="Logo" title="Libertad y Progres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 w:before="80"/>
      </w:pPr>
      <w:r>
        <w:rPr>
          <w:rFonts w:ascii="Open Sans" w:cs="Open Sans" w:eastAsia="Open Sans" w:hAnsi="Open Sans"/>
          <w:b/>
          <w:bCs/>
          <w:color w:val="C1121C"/>
          <w:sz w:val="40"/>
          <w:szCs w:val="40"/>
        </w:rPr>
        <w:t xml:space="preserve">Monitor Institucional Argentino (MIA)</w:t>
      </w:r>
    </w:p>
    <w:p>
      <w:pPr>
        <w:spacing w:after="10"/>
      </w:pPr>
      <w:r>
        <w:rPr>
          <w:rFonts w:ascii="Open Sans" w:cs="Open Sans" w:eastAsia="Open Sans" w:hAnsi="Open Sans"/>
          <w:b/>
          <w:bCs/>
          <w:color w:val="404040"/>
          <w:sz w:val="24"/>
          <w:szCs w:val="24"/>
        </w:rPr>
        <w:t xml:space="preserve">Reporte mensual · Edición Junio 2026 (cierre definitivo)</w:t>
      </w:r>
    </w:p>
    <w:p>
      <w:pPr>
        <w:spacing w:after="160"/>
      </w:pPr>
      <w:r>
        <w:rPr>
          <w:rFonts w:ascii="Open Sans" w:cs="Open Sans" w:eastAsia="Open Sans" w:hAnsi="Open Sans"/>
          <w:color w:val="767676"/>
          <w:sz w:val="18"/>
          <w:szCs w:val="18"/>
        </w:rPr>
        <w:t xml:space="preserve">Departamento de Políticas Públicas — Fundación Libertad y Progreso · Julio 2026</w:t>
      </w:r>
    </w:p>
    <w:p>
      <w:pPr>
        <w:pBdr>
          <w:bottom w:val="single" w:color="C1121C" w:sz="6" w:space="2"/>
        </w:pBdr>
        <w:spacing w:after="120" w:before="260"/>
      </w:pPr>
      <w:r>
        <w:rPr>
          <w:rFonts w:ascii="Open Sans" w:cs="Open Sans" w:eastAsia="Open Sans" w:hAnsi="Open Sans"/>
          <w:b/>
          <w:bCs/>
          <w:color w:val="C1121C"/>
          <w:sz w:val="26"/>
          <w:szCs w:val="26"/>
        </w:rPr>
        <w:t xml:space="preserve">Resumen ejecutivo</w:t>
      </w:r>
    </w:p>
    <w:p>
      <w:pPr>
        <w:spacing w:after="140" w:line="264"/>
        <w:jc w:val="both"/>
      </w:pP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El Monitor Institucional Argentino cerró junio de 2026 en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55,97 puntos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sobre 100, con una mejora de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+2,2 puntos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respecto de mayo (53,75) y de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+4,8 puntos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en la comparación interanual (junio de 2025: 51,21). El índice recupera así el terreno perdido en el bache de abril-mayo, aunque todavía se ubica por debajo del pico de comienzos de año (56,6 en enero).</w:t>
      </w:r>
    </w:p>
    <w:p>
      <w:pPr>
        <w:spacing w:after="140" w:line="264"/>
        <w:jc w:val="both"/>
      </w:pP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La mejora del mes se explica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casi enteramente por el eje Judicial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—por la cobertura de cargos— y, en menor medida, por Prensa. En sentido contrario, el eje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Legislativo retrocedió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, mientras que Ejecutivo y Banco Central se mantuvieron estables en sus niveles previos.</w:t>
      </w:r>
    </w:p>
    <w:p>
      <w:pPr>
        <w:pBdr>
          <w:bottom w:val="single" w:color="C1121C" w:sz="6" w:space="2"/>
        </w:pBdr>
        <w:spacing w:after="120" w:before="260"/>
      </w:pPr>
      <w:r>
        <w:rPr>
          <w:rFonts w:ascii="Open Sans" w:cs="Open Sans" w:eastAsia="Open Sans" w:hAnsi="Open Sans"/>
          <w:b/>
          <w:bCs/>
          <w:color w:val="C1121C"/>
          <w:sz w:val="26"/>
          <w:szCs w:val="26"/>
        </w:rPr>
        <w:t xml:space="preserve">1. MIA consolidado</w:t>
      </w:r>
    </w:p>
    <w:p>
      <w:pPr>
        <w:spacing w:after="40" w:before="60"/>
        <w:jc w:val="center"/>
      </w:pPr>
      <w:r>
        <w:drawing>
          <wp:inline distT="0" distB="0" distL="0" distR="0">
            <wp:extent cx="5905500" cy="2724150"/>
            <wp:effectExtent t="0" r="0" b="0" l="0"/>
            <wp:docPr id="1" name="mia_consolidado.png" descr="MIA mensual (consolidado de las 18 variables), gestión Milei. Cierre a junio de 2026." title="MIA mensual (consolidado de las 18 variables), gestión Milei. Cierre a junio de 2026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Open Sans" w:cs="Open Sans" w:eastAsia="Open Sans" w:hAnsi="Open Sans"/>
          <w:i/>
          <w:iCs/>
          <w:color w:val="767676"/>
          <w:sz w:val="15"/>
          <w:szCs w:val="15"/>
        </w:rPr>
        <w:t xml:space="preserve">MIA mensual (consolidado de las 18 variables), gestión Milei. Cierre a junio de 2026.</w:t>
      </w:r>
    </w:p>
    <w:p>
      <w:pPr>
        <w:pBdr>
          <w:bottom w:val="single" w:color="C1121C" w:sz="6" w:space="2"/>
        </w:pBdr>
        <w:spacing w:after="120" w:before="260"/>
      </w:pPr>
      <w:r>
        <w:rPr>
          <w:rFonts w:ascii="Open Sans" w:cs="Open Sans" w:eastAsia="Open Sans" w:hAnsi="Open Sans"/>
          <w:b/>
          <w:bCs/>
          <w:color w:val="C1121C"/>
          <w:sz w:val="26"/>
          <w:szCs w:val="26"/>
        </w:rPr>
        <w:t xml:space="preserve">2. Sub-índices por eje</w:t>
      </w:r>
    </w:p>
    <w:p>
      <w:pPr>
        <w:spacing w:after="40" w:before="60"/>
        <w:jc w:val="center"/>
      </w:pPr>
      <w:r>
        <w:drawing>
          <wp:inline distT="0" distB="0" distL="0" distR="0">
            <wp:extent cx="5905500" cy="2962275"/>
            <wp:effectExtent t="0" r="0" b="0" l="0"/>
            <wp:docPr id="1" name="mia_5ejes.png" descr="Los cinco sub-índices que componen el MIA, en frecuencia mensual." title="Los cinco sub-índices que componen el MIA, en frecuencia mensual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Open Sans" w:cs="Open Sans" w:eastAsia="Open Sans" w:hAnsi="Open Sans"/>
          <w:i/>
          <w:iCs/>
          <w:color w:val="767676"/>
          <w:sz w:val="15"/>
          <w:szCs w:val="15"/>
        </w:rPr>
        <w:t xml:space="preserve">Los cinco sub-índices que componen el MIA, en frecuencia mensual.</w:t>
      </w:r>
    </w:p>
    <w:p>
      <w:pPr>
        <w:pBdr>
          <w:bottom w:val="single" w:color="C1121C" w:sz="6" w:space="2"/>
        </w:pBdr>
        <w:spacing w:after="120" w:before="260"/>
      </w:pPr>
      <w:r>
        <w:rPr>
          <w:rFonts w:ascii="Open Sans" w:cs="Open Sans" w:eastAsia="Open Sans" w:hAnsi="Open Sans"/>
          <w:b/>
          <w:bCs/>
          <w:color w:val="C1121C"/>
          <w:sz w:val="26"/>
          <w:szCs w:val="26"/>
        </w:rPr>
        <w:t xml:space="preserve">3. Lectura mes a mes: mayo → junio 2026</w:t>
      </w:r>
    </w:p>
    <w:p>
      <w:pPr>
        <w:spacing w:after="140" w:line="264"/>
        <w:jc w:val="both"/>
      </w:pP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La tabla resume el MIA y sus cinco sub-índices, con su peso en el índice y la variación del mes:</w:t>
      </w:r>
    </w:p>
    <w:tbl>
      <w:tblPr>
        <w:tblW w:type="dxa" w:w="9360"/>
        <w:tblBorders>
          <w:top w:val="single" w:color="D9D9D9" w:sz="1"/>
          <w:left w:val="single" w:color="D9D9D9" w:sz="1"/>
          <w:bottom w:val="single" w:color="D9D9D9" w:sz="1"/>
          <w:right w:val="single" w:color="D9D9D9" w:sz="1"/>
          <w:insideH w:val="single" w:color="D9D9D9" w:sz="1"/>
          <w:insideV w:val="single" w:color="D9D9D9" w:sz="1"/>
        </w:tblBorders>
      </w:tblPr>
      <w:tblGrid>
        <w:gridCol w:w="3060"/>
        <w:gridCol w:w="1200"/>
        <w:gridCol w:w="1700"/>
        <w:gridCol w:w="1700"/>
        <w:gridCol w:w="1700"/>
      </w:tblGrid>
      <w:tr>
        <w:trPr>
          <w:tblHeader/>
        </w:trPr>
        <w:tc>
          <w:tcPr>
            <w:tcW w:type="dxa" w:w="30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DED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C1121C"/>
                <w:sz w:val="18"/>
                <w:szCs w:val="18"/>
              </w:rPr>
              <w:t xml:space="preserve">Eje</w:t>
            </w:r>
          </w:p>
        </w:tc>
        <w:tc>
          <w:tcPr>
            <w:tcW w:type="dxa" w:w="1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DED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C1121C"/>
                <w:sz w:val="18"/>
                <w:szCs w:val="18"/>
              </w:rPr>
              <w:t xml:space="preserve">Peso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DED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C1121C"/>
                <w:sz w:val="18"/>
                <w:szCs w:val="18"/>
              </w:rPr>
              <w:t xml:space="preserve">May-26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DED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C1121C"/>
                <w:sz w:val="18"/>
                <w:szCs w:val="18"/>
              </w:rPr>
              <w:t xml:space="preserve">Jun-26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DED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C1121C"/>
                <w:sz w:val="18"/>
                <w:szCs w:val="18"/>
              </w:rPr>
              <w:t xml:space="preserve">Var.</w:t>
            </w:r>
          </w:p>
        </w:tc>
      </w:tr>
      <w:tr>
        <w:tc>
          <w:tcPr>
            <w:tcW w:type="dxa" w:w="30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8"/>
                <w:szCs w:val="18"/>
              </w:rPr>
              <w:t xml:space="preserve">MIA (total)</w:t>
            </w:r>
          </w:p>
        </w:tc>
        <w:tc>
          <w:tcPr>
            <w:tcW w:type="dxa" w:w="1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100%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53,75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55,97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1E7A34"/>
                <w:sz w:val="18"/>
                <w:szCs w:val="18"/>
              </w:rPr>
              <w:t xml:space="preserve">+2,23</w:t>
            </w:r>
          </w:p>
        </w:tc>
      </w:tr>
      <w:tr>
        <w:tc>
          <w:tcPr>
            <w:tcW w:type="dxa" w:w="30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8"/>
                <w:szCs w:val="18"/>
              </w:rPr>
              <w:t xml:space="preserve">Ejecutivo</w:t>
            </w:r>
          </w:p>
        </w:tc>
        <w:tc>
          <w:tcPr>
            <w:tcW w:type="dxa" w:w="1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30%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54,25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54,57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1E7A34"/>
                <w:sz w:val="18"/>
                <w:szCs w:val="18"/>
              </w:rPr>
              <w:t xml:space="preserve">+0,32</w:t>
            </w:r>
          </w:p>
        </w:tc>
      </w:tr>
      <w:tr>
        <w:tc>
          <w:tcPr>
            <w:tcW w:type="dxa" w:w="30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8"/>
                <w:szCs w:val="18"/>
              </w:rPr>
              <w:t xml:space="preserve">Legislativo</w:t>
            </w:r>
          </w:p>
        </w:tc>
        <w:tc>
          <w:tcPr>
            <w:tcW w:type="dxa" w:w="1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20%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53,23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50,75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B02020"/>
                <w:sz w:val="18"/>
                <w:szCs w:val="18"/>
              </w:rPr>
              <w:t xml:space="preserve">−2,48</w:t>
            </w:r>
          </w:p>
        </w:tc>
      </w:tr>
      <w:tr>
        <w:tc>
          <w:tcPr>
            <w:tcW w:type="dxa" w:w="30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8"/>
                <w:szCs w:val="18"/>
              </w:rPr>
              <w:t xml:space="preserve">Judicial</w:t>
            </w:r>
          </w:p>
        </w:tc>
        <w:tc>
          <w:tcPr>
            <w:tcW w:type="dxa" w:w="1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20%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33,94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45,50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1E7A34"/>
                <w:sz w:val="18"/>
                <w:szCs w:val="18"/>
              </w:rPr>
              <w:t xml:space="preserve">+11,55</w:t>
            </w:r>
          </w:p>
        </w:tc>
      </w:tr>
      <w:tr>
        <w:tc>
          <w:tcPr>
            <w:tcW w:type="dxa" w:w="30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8"/>
                <w:szCs w:val="18"/>
              </w:rPr>
              <w:t xml:space="preserve">Prensa</w:t>
            </w:r>
          </w:p>
        </w:tc>
        <w:tc>
          <w:tcPr>
            <w:tcW w:type="dxa" w:w="1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15%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66,79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69,02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1E7A34"/>
                <w:sz w:val="18"/>
                <w:szCs w:val="18"/>
              </w:rPr>
              <w:t xml:space="preserve">+2,23</w:t>
            </w:r>
          </w:p>
        </w:tc>
      </w:tr>
      <w:tr>
        <w:tc>
          <w:tcPr>
            <w:tcW w:type="dxa" w:w="30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8"/>
                <w:szCs w:val="18"/>
              </w:rPr>
              <w:t xml:space="preserve">Banco Central</w:t>
            </w:r>
          </w:p>
        </w:tc>
        <w:tc>
          <w:tcPr>
            <w:tcW w:type="dxa" w:w="12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15%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66,78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66,67</w:t>
            </w:r>
          </w:p>
        </w:tc>
        <w:tc>
          <w:tcPr>
            <w:tcW w:type="dxa" w:w="17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B02020"/>
                <w:sz w:val="18"/>
                <w:szCs w:val="18"/>
              </w:rPr>
              <w:t xml:space="preserve">−0,11</w:t>
            </w:r>
          </w:p>
        </w:tc>
      </w:tr>
    </w:tbl>
    <w:p>
      <w:pPr>
        <w:spacing w:after="120"/>
      </w:pPr>
    </w:p>
    <w:p>
      <w:pPr>
        <w:spacing w:after="140" w:line="264"/>
        <w:jc w:val="both"/>
      </w:pP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A nivel de variables, los movimientos que explican el mes son:</w:t>
      </w:r>
    </w:p>
    <w:tbl>
      <w:tblPr>
        <w:tblW w:type="dxa" w:w="9360"/>
        <w:tblBorders>
          <w:top w:val="single" w:color="D9D9D9" w:sz="1"/>
          <w:left w:val="single" w:color="D9D9D9" w:sz="1"/>
          <w:bottom w:val="single" w:color="D9D9D9" w:sz="1"/>
          <w:right w:val="single" w:color="D9D9D9" w:sz="1"/>
          <w:insideH w:val="single" w:color="D9D9D9" w:sz="1"/>
          <w:insideV w:val="single" w:color="D9D9D9" w:sz="1"/>
        </w:tblBorders>
      </w:tblPr>
      <w:tblGrid>
        <w:gridCol w:w="3360"/>
        <w:gridCol w:w="1900"/>
        <w:gridCol w:w="1300"/>
        <w:gridCol w:w="1300"/>
        <w:gridCol w:w="1500"/>
      </w:tblGrid>
      <w:tr>
        <w:trPr>
          <w:tblHeader/>
        </w:trPr>
        <w:tc>
          <w:tcPr>
            <w:tcW w:type="dxa" w:w="3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DED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C1121C"/>
                <w:sz w:val="18"/>
                <w:szCs w:val="18"/>
              </w:rPr>
              <w:t xml:space="preserve">Variable</w:t>
            </w:r>
          </w:p>
        </w:tc>
        <w:tc>
          <w:tcPr>
            <w:tcW w:type="dxa" w:w="1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DED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C1121C"/>
                <w:sz w:val="18"/>
                <w:szCs w:val="18"/>
              </w:rPr>
              <w:t xml:space="preserve">Eje</w:t>
            </w:r>
          </w:p>
        </w:tc>
        <w:tc>
          <w:tcPr>
            <w:tcW w:type="dxa" w:w="13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DED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C1121C"/>
                <w:sz w:val="18"/>
                <w:szCs w:val="18"/>
              </w:rPr>
              <w:t xml:space="preserve">May-26</w:t>
            </w:r>
          </w:p>
        </w:tc>
        <w:tc>
          <w:tcPr>
            <w:tcW w:type="dxa" w:w="13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DED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C1121C"/>
                <w:sz w:val="18"/>
                <w:szCs w:val="18"/>
              </w:rPr>
              <w:t xml:space="preserve">Jun-26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shd w:fill="F2DEDE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C1121C"/>
                <w:sz w:val="18"/>
                <w:szCs w:val="18"/>
              </w:rPr>
              <w:t xml:space="preserve">Var.</w:t>
            </w:r>
          </w:p>
        </w:tc>
      </w:tr>
      <w:tr>
        <w:tc>
          <w:tcPr>
            <w:tcW w:type="dxa" w:w="3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8"/>
                <w:szCs w:val="18"/>
              </w:rPr>
              <w:t xml:space="preserve">Cobertura Judicial</w:t>
            </w:r>
          </w:p>
        </w:tc>
        <w:tc>
          <w:tcPr>
            <w:tcW w:type="dxa" w:w="1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Judicial</w:t>
            </w:r>
          </w:p>
        </w:tc>
        <w:tc>
          <w:tcPr>
            <w:tcW w:type="dxa" w:w="13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39,9</w:t>
            </w:r>
          </w:p>
        </w:tc>
        <w:tc>
          <w:tcPr>
            <w:tcW w:type="dxa" w:w="13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68,8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1E7A34"/>
                <w:sz w:val="18"/>
                <w:szCs w:val="18"/>
              </w:rPr>
              <w:t xml:space="preserve">+28,9</w:t>
            </w:r>
          </w:p>
        </w:tc>
      </w:tr>
      <w:tr>
        <w:tc>
          <w:tcPr>
            <w:tcW w:type="dxa" w:w="3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8"/>
                <w:szCs w:val="18"/>
              </w:rPr>
              <w:t xml:space="preserve">Acceso de la prensa</w:t>
            </w:r>
          </w:p>
        </w:tc>
        <w:tc>
          <w:tcPr>
            <w:tcW w:type="dxa" w:w="1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Prensa</w:t>
            </w:r>
          </w:p>
        </w:tc>
        <w:tc>
          <w:tcPr>
            <w:tcW w:type="dxa" w:w="13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35,3</w:t>
            </w:r>
          </w:p>
        </w:tc>
        <w:tc>
          <w:tcPr>
            <w:tcW w:type="dxa" w:w="13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50,2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1E7A34"/>
                <w:sz w:val="18"/>
                <w:szCs w:val="18"/>
              </w:rPr>
              <w:t xml:space="preserve">+14,9</w:t>
            </w:r>
          </w:p>
        </w:tc>
      </w:tr>
      <w:tr>
        <w:tc>
          <w:tcPr>
            <w:tcW w:type="dxa" w:w="3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8"/>
                <w:szCs w:val="18"/>
              </w:rPr>
              <w:t xml:space="preserve">Calidad Normativa</w:t>
            </w:r>
          </w:p>
        </w:tc>
        <w:tc>
          <w:tcPr>
            <w:tcW w:type="dxa" w:w="1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Legislativo</w:t>
            </w:r>
          </w:p>
        </w:tc>
        <w:tc>
          <w:tcPr>
            <w:tcW w:type="dxa" w:w="13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72,2</w:t>
            </w:r>
          </w:p>
        </w:tc>
        <w:tc>
          <w:tcPr>
            <w:tcW w:type="dxa" w:w="13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68,6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B02020"/>
                <w:sz w:val="18"/>
                <w:szCs w:val="18"/>
              </w:rPr>
              <w:t xml:space="preserve">−3,6</w:t>
            </w:r>
          </w:p>
        </w:tc>
      </w:tr>
      <w:tr>
        <w:tc>
          <w:tcPr>
            <w:tcW w:type="dxa" w:w="3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8"/>
                <w:szCs w:val="18"/>
              </w:rPr>
              <w:t xml:space="preserve">Eficacia de Control</w:t>
            </w:r>
          </w:p>
        </w:tc>
        <w:tc>
          <w:tcPr>
            <w:tcW w:type="dxa" w:w="1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Legislativo</w:t>
            </w:r>
          </w:p>
        </w:tc>
        <w:tc>
          <w:tcPr>
            <w:tcW w:type="dxa" w:w="13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29,5</w:t>
            </w:r>
          </w:p>
        </w:tc>
        <w:tc>
          <w:tcPr>
            <w:tcW w:type="dxa" w:w="13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27,4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B02020"/>
                <w:sz w:val="18"/>
                <w:szCs w:val="18"/>
              </w:rPr>
              <w:t xml:space="preserve">−2,1</w:t>
            </w:r>
          </w:p>
        </w:tc>
      </w:tr>
      <w:tr>
        <w:tc>
          <w:tcPr>
            <w:tcW w:type="dxa" w:w="3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8"/>
                <w:szCs w:val="18"/>
              </w:rPr>
              <w:t xml:space="preserve">Causas contra periodistas</w:t>
            </w:r>
          </w:p>
        </w:tc>
        <w:tc>
          <w:tcPr>
            <w:tcW w:type="dxa" w:w="1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Prensa</w:t>
            </w:r>
          </w:p>
        </w:tc>
        <w:tc>
          <w:tcPr>
            <w:tcW w:type="dxa" w:w="13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2,1</w:t>
            </w:r>
          </w:p>
        </w:tc>
        <w:tc>
          <w:tcPr>
            <w:tcW w:type="dxa" w:w="13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0,0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B02020"/>
                <w:sz w:val="18"/>
                <w:szCs w:val="18"/>
              </w:rPr>
              <w:t xml:space="preserve">−2,1</w:t>
            </w:r>
          </w:p>
        </w:tc>
      </w:tr>
      <w:tr>
        <w:tc>
          <w:tcPr>
            <w:tcW w:type="dxa" w:w="3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8"/>
                <w:szCs w:val="18"/>
              </w:rPr>
              <w:t xml:space="preserve">Discrecionalidad presup.</w:t>
            </w:r>
          </w:p>
        </w:tc>
        <w:tc>
          <w:tcPr>
            <w:tcW w:type="dxa" w:w="1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Ejecutivo</w:t>
            </w:r>
          </w:p>
        </w:tc>
        <w:tc>
          <w:tcPr>
            <w:tcW w:type="dxa" w:w="13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76,2</w:t>
            </w:r>
          </w:p>
        </w:tc>
        <w:tc>
          <w:tcPr>
            <w:tcW w:type="dxa" w:w="13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77,6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1E7A34"/>
                <w:sz w:val="18"/>
                <w:szCs w:val="18"/>
              </w:rPr>
              <w:t xml:space="preserve">+1,4</w:t>
            </w:r>
          </w:p>
        </w:tc>
      </w:tr>
      <w:tr>
        <w:tc>
          <w:tcPr>
            <w:tcW w:type="dxa" w:w="3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8"/>
                <w:szCs w:val="18"/>
              </w:rPr>
              <w:t xml:space="preserve">ATN (federalismo)</w:t>
            </w:r>
          </w:p>
        </w:tc>
        <w:tc>
          <w:tcPr>
            <w:tcW w:type="dxa" w:w="1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Ejecutivo</w:t>
            </w:r>
          </w:p>
        </w:tc>
        <w:tc>
          <w:tcPr>
            <w:tcW w:type="dxa" w:w="13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87,8</w:t>
            </w:r>
          </w:p>
        </w:tc>
        <w:tc>
          <w:tcPr>
            <w:tcW w:type="dxa" w:w="13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89,2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1E7A34"/>
                <w:sz w:val="18"/>
                <w:szCs w:val="18"/>
              </w:rPr>
              <w:t xml:space="preserve">+1,4</w:t>
            </w:r>
          </w:p>
        </w:tc>
      </w:tr>
      <w:tr>
        <w:tc>
          <w:tcPr>
            <w:tcW w:type="dxa" w:w="336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left"/>
            </w:pPr>
            <w:r>
              <w:rPr>
                <w:rFonts w:ascii="Open Sans" w:cs="Open Sans" w:eastAsia="Open Sans" w:hAnsi="Open Sans"/>
                <w:b/>
                <w:bCs/>
                <w:color w:val="404040"/>
                <w:sz w:val="18"/>
                <w:szCs w:val="18"/>
              </w:rPr>
              <w:t xml:space="preserve">DNU vs Leyes</w:t>
            </w:r>
          </w:p>
        </w:tc>
        <w:tc>
          <w:tcPr>
            <w:tcW w:type="dxa" w:w="19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Ejecutivo</w:t>
            </w:r>
          </w:p>
        </w:tc>
        <w:tc>
          <w:tcPr>
            <w:tcW w:type="dxa" w:w="13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5,9</w:t>
            </w:r>
          </w:p>
        </w:tc>
        <w:tc>
          <w:tcPr>
            <w:tcW w:type="dxa" w:w="13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 w:val="false"/>
                <w:bCs w:val="false"/>
                <w:color w:val="404040"/>
                <w:sz w:val="18"/>
                <w:szCs w:val="18"/>
              </w:rPr>
              <w:t xml:space="preserve">4,7</w:t>
            </w:r>
          </w:p>
        </w:tc>
        <w:tc>
          <w:tcPr>
            <w:tcW w:type="dxa" w:w="1500"/>
            <w:tcBorders>
              <w:top w:val="single" w:color="D9D9D9" w:sz="1"/>
              <w:left w:val="single" w:color="D9D9D9" w:sz="1"/>
              <w:bottom w:val="single" w:color="D9D9D9" w:sz="1"/>
              <w:right w:val="single" w:color="D9D9D9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jc w:val="center"/>
            </w:pPr>
            <w:r>
              <w:rPr>
                <w:rFonts w:ascii="Open Sans" w:cs="Open Sans" w:eastAsia="Open Sans" w:hAnsi="Open Sans"/>
                <w:b/>
                <w:bCs/>
                <w:color w:val="B02020"/>
                <w:sz w:val="18"/>
                <w:szCs w:val="18"/>
              </w:rPr>
              <w:t xml:space="preserve">−1,2</w:t>
            </w:r>
          </w:p>
        </w:tc>
      </w:tr>
    </w:tbl>
    <w:p>
      <w:pPr>
        <w:spacing w:after="120"/>
      </w:pPr>
    </w:p>
    <w:p>
      <w:pPr>
        <w:spacing w:after="140" w:line="264"/>
        <w:jc w:val="both"/>
      </w:pP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Judicial (+11,6).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Es el motor del mes, y proviene íntegramente de la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Cobertura Judicial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(de 39,9 a 68,8). En junio se incorporaron al padrón judicial las designaciones de jueces titulares publicadas en el Boletín Oficial —con acuerdo del Senado—, que redujeron la proporción de cargos vacantes y de subrogancias. Es un dato duro, un hecho real de nombramientos, no un cambio metodológico; se reconciliará con el próximo relevamiento oficial. El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Desempeño de la Corte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, en cambio, permanece clavado en 30: sube la cobertura, no la eficacia de fondo.</w:t>
      </w:r>
    </w:p>
    <w:p>
      <w:pPr>
        <w:spacing w:after="140" w:line="264"/>
        <w:jc w:val="both"/>
      </w:pP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Prensa (+2,2).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Mejora impulsada por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Acceso de la prensa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(de 35,3 a 50,2), variable de arrastre que registra hechos de acceso y restricción. El escrutinio abierto y la baja pauta se mantienen en niveles óptimos. Como señal de alerta,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Causas contra periodistas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retrocedió a 0.</w:t>
      </w:r>
    </w:p>
    <w:p>
      <w:pPr>
        <w:spacing w:after="140" w:line="264"/>
        <w:jc w:val="both"/>
      </w:pP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Legislativo (−2,5).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Es la nota negativa del mes: caen tanto la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Calidad Normativa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(de 72,2 a 68,6) como la </w:t>
      </w: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Eficacia de Control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(de 29,5 a 27,4). El Congreso produjo menos normativa sustantiva y ejerció menos control sobre el Ejecutivo.</w:t>
      </w:r>
    </w:p>
    <w:p>
      <w:pPr>
        <w:spacing w:after="140" w:line="264"/>
        <w:jc w:val="both"/>
      </w:pPr>
      <w:r>
        <w:rPr>
          <w:rFonts w:ascii="Open Sans" w:cs="Open Sans" w:eastAsia="Open Sans" w:hAnsi="Open Sans"/>
          <w:b/>
          <w:bCs/>
          <w:color w:val="404040"/>
          <w:sz w:val="20"/>
          <w:szCs w:val="20"/>
        </w:rPr>
        <w:t xml:space="preserve">Ejecutivo (+0,3) y Banco Central (−0,1): estables.</w:t>
      </w: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 En el Ejecutivo, las mejoras en discrecionalidad presupuestaria y en el reparto de ATN (federalismo) compensaron un leve deterioro del ratio DNU/leyes, que sigue siendo estructuralmente bajo. El Banco Central sostiene niveles altos, con el respeto a la Carta Orgánica en el máximo y el financiamiento monetario al Tesoro contenido.</w:t>
      </w:r>
    </w:p>
    <w:p>
      <w:pPr>
        <w:pBdr>
          <w:bottom w:val="single" w:color="C1121C" w:sz="6" w:space="2"/>
        </w:pBdr>
        <w:spacing w:after="120" w:before="260"/>
      </w:pPr>
      <w:r>
        <w:rPr>
          <w:rFonts w:ascii="Open Sans" w:cs="Open Sans" w:eastAsia="Open Sans" w:hAnsi="Open Sans"/>
          <w:b/>
          <w:bCs/>
          <w:color w:val="C1121C"/>
          <w:sz w:val="26"/>
          <w:szCs w:val="26"/>
        </w:rPr>
        <w:t xml:space="preserve">4. La lectura de Libertad y Progreso</w:t>
      </w:r>
    </w:p>
    <w:p>
      <w:pPr>
        <w:spacing w:after="140" w:line="264"/>
        <w:jc w:val="both"/>
      </w:pP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La calidad republicana se sostiene sobre poder limitado, frenos y contrapesos, reglas estables debatidas en el Congreso, transparencia y una justicia independiente y ágil. Desde ese criterio leemos el mes.</w:t>
      </w:r>
    </w:p>
    <w:p>
      <w:pPr>
        <w:spacing w:after="140" w:line="264"/>
        <w:jc w:val="both"/>
      </w:pP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Celebramos el avance en la cobertura judicial. Cubrir los cargos por el mecanismo constitucional —concurso y acuerdo del Senado— fortalece la independencia y la celeridad de la Justicia: un tribunal con vacantes es más lento y más dependiente de subrogantes removibles, más expuesto a la presión del poder de turno. Ahora bien, la cobertura es condición necesaria, no suficiente: mientras el desempeño de la Corte no mejore, el eje seguirá arrastrando una debilidad de fondo.</w:t>
      </w:r>
    </w:p>
    <w:p>
      <w:pPr>
        <w:spacing w:after="140" w:line="264"/>
        <w:jc w:val="both"/>
      </w:pP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La señal preocupante del mes está en el Legislativo. Un Congreso que produce menos norma sustantiva y controla menos al Ejecutivo debilita los contrapesos que definen a una república. Insistimos en un principio que atraviesa todo el índice: las reglas deben debatirse y sancionarse en el Congreso, no imponerse por decreto. El bajo puntaje persistente del ratio DNU/leyes es el reflejo de ese déficit institucional que ninguna coyuntura fiscal alcanza a compensar.</w:t>
      </w:r>
    </w:p>
    <w:p>
      <w:pPr>
        <w:spacing w:after="140" w:line="264"/>
        <w:jc w:val="both"/>
      </w:pP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En el frente monetario, el respeto a la Carta Orgánica del Banco Central y la contención del financiamiento al Tesoro son condiciones de la estabilidad. La inflación es siempre y en todo lugar un fenómeno monetario: sostener estos frenos es sostener el proceso de desinflación, y su deterioro sería una de las primeras alarmas a encender.</w:t>
      </w:r>
    </w:p>
    <w:p>
      <w:pPr>
        <w:spacing w:after="140" w:line="264"/>
        <w:jc w:val="both"/>
      </w:pPr>
      <w:r>
        <w:rPr>
          <w:rFonts w:ascii="Open Sans" w:cs="Open Sans" w:eastAsia="Open Sans" w:hAnsi="Open Sans"/>
          <w:b w:val="false"/>
          <w:bCs w:val="false"/>
          <w:color w:val="404040"/>
          <w:sz w:val="20"/>
          <w:szCs w:val="20"/>
        </w:rPr>
        <w:t xml:space="preserve">En síntesis, el MIA mejora, pero su avance se concentra en un solo eje y esconde un retroceso legislativo. Consolidar la calidad republicana exige que el orden fiscal y monetario se complemente con reglas debatidas institucionalmente y con contrapesos efectivos. Ese es el camino que, en Libertad y Progreso, seguiremos midiendo mes a mes.</w:t>
      </w:r>
    </w:p>
    <w:p>
      <w:pPr>
        <w:pBdr>
          <w:bottom w:val="single" w:color="C1121C" w:sz="6" w:space="2"/>
        </w:pBdr>
        <w:spacing w:after="120" w:before="260"/>
      </w:pPr>
      <w:r>
        <w:rPr>
          <w:rFonts w:ascii="Open Sans" w:cs="Open Sans" w:eastAsia="Open Sans" w:hAnsi="Open Sans"/>
          <w:b/>
          <w:bCs/>
          <w:color w:val="C1121C"/>
          <w:sz w:val="26"/>
          <w:szCs w:val="26"/>
        </w:rPr>
        <w:t xml:space="preserve">Nota metodológica</w:t>
      </w:r>
    </w:p>
    <w:p>
      <w:pPr>
        <w:spacing w:after="90" w:line="240"/>
      </w:pPr>
      <w:r>
        <w:rPr>
          <w:rFonts w:ascii="Open Sans" w:cs="Open Sans" w:eastAsia="Open Sans" w:hAnsi="Open Sans"/>
          <w:i/>
          <w:iCs/>
          <w:color w:val="767676"/>
          <w:sz w:val="16"/>
          <w:szCs w:val="16"/>
        </w:rPr>
        <w:t xml:space="preserve">El MIA es un índice mensual de 0 a 100, determinístico y auditable, construido con dato duro oficial. No interviene la inteligencia artificial en el valor publicado. Combina 18 variables en cinco ejes con pesos fijos: Ejecutivo 30%, Legislativo 20%, Judicial 20%, Prensa 15% y Banco Central 15%. Cada variable se normaliza por anclaje al ideal (0 = peor desempeño de referencia; 100 = ideal republicano) y la serie se suaviza con una media móvil de 12 meses.</w:t>
      </w:r>
    </w:p>
    <w:p>
      <w:pPr>
        <w:spacing w:after="90" w:line="240"/>
      </w:pPr>
      <w:r>
        <w:rPr>
          <w:rFonts w:ascii="Open Sans" w:cs="Open Sans" w:eastAsia="Open Sans" w:hAnsi="Open Sans"/>
          <w:i/>
          <w:iCs/>
          <w:color w:val="767676"/>
          <w:sz w:val="16"/>
          <w:szCs w:val="16"/>
        </w:rPr>
        <w:t xml:space="preserve">El índice se publica desde enero de 2024, ya suavizado, calculado con un colchón previo desde 2023. Fuentes: Boletín Oficial (BORA), DGSIAF, BCRA, datos.jus, AAIP, InfoLeg y CSJN, entre otras. Los radares del BORA (nombramientos y bajas de jueces; Presidencia del BCRA) alimentan el padrón judicial vivo. Junio de 2026 corresponde al cierre definitivo del mes; el mes en curso se publica siempre como provisional.</w:t>
      </w:r>
    </w:p>
    <w:sectPr>
      <w:headerReference w:type="default" r:id="rId7"/>
      <w:footerReference w:type="default" r:id="rId8"/>
      <w:pgSz w:w="12240" w:h="15840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Open Sans" w:cs="Open Sans" w:eastAsia="Open Sans" w:hAnsi="Open Sans"/>
        <w:color w:val="767676"/>
        <w:sz w:val="14"/>
        <w:szCs w:val="14"/>
      </w:rPr>
      <w:t xml:space="preserve">Fundación Libertad y Progreso  ·  </w:t>
    </w:r>
    <w:r>
      <w:rPr>
        <w:rFonts w:ascii="Open Sans" w:cs="Open Sans" w:eastAsia="Open Sans" w:hAnsi="Open Sans"/>
        <w:color w:val="76767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9D9" w:sz="4" w:space="2"/>
      </w:pBdr>
      <w:tabs>
        <w:tab w:val="right" w:pos="9360"/>
      </w:tabs>
    </w:pPr>
    <w:r>
      <w:rPr>
        <w:rFonts w:ascii="Open Sans" w:cs="Open Sans" w:eastAsia="Open Sans" w:hAnsi="Open Sans"/>
        <w:b/>
        <w:bCs/>
        <w:color w:val="C1121C"/>
        <w:sz w:val="15"/>
        <w:szCs w:val="15"/>
      </w:rPr>
      <w:t xml:space="preserve">INFORME DE POLÍTICAS PÚBLICAS</w:t>
    </w:r>
    <w:r>
      <w:rPr>
        <w:rFonts w:ascii="Open Sans" w:cs="Open Sans" w:eastAsia="Open Sans" w:hAnsi="Open Sans"/>
        <w:color w:val="767676"/>
        <w:sz w:val="15"/>
        <w:szCs w:val="15"/>
      </w:rPr>
      <w:t xml:space="preserve">	MIA · Edición Julio 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Open Sans" w:cs="Open Sans" w:eastAsia="Open Sans" w:hAnsi="Open Sans"/>
        <w:color w:val="40404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2e89fd48973ec0c2be3a1f231084c52230d83df.png"/><Relationship Id="rId10" Type="http://schemas.openxmlformats.org/officeDocument/2006/relationships/image" Target="media/f99d6acc0aefbdf7fe3ff83aa0952f24ac6539c4.png"/><Relationship Id="rId11" Type="http://schemas.openxmlformats.org/officeDocument/2006/relationships/image" Target="media/3378c1ef66f1e19273519354bc304b222cc3fcc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2026-07-06T18:45:14.850Z</dcterms:created>
  <dcterms:modified xsi:type="dcterms:W3CDTF">2026-07-06T18:45:14.850Z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